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E36474" w:rsidRPr="00025533" w:rsidTr="00E36474">
        <w:trPr>
          <w:cnfStyle w:val="100000000000" w:firstRow="1" w:lastRow="0" w:firstColumn="0" w:lastColumn="0" w:oddVBand="0" w:evenVBand="0" w:oddHBand="0" w:evenHBand="0" w:firstRowFirstColumn="0" w:firstRowLastColumn="0" w:lastRowFirstColumn="0" w:lastRowLastColumn="0"/>
          <w:trHeight w:val="1134"/>
          <w:tblHeader w:val="0"/>
        </w:trPr>
        <w:bookmarkStart w:id="0" w:name="_GoBack" w:displacedByCustomXml="next"/>
        <w:bookmarkEnd w:id="0" w:displacedByCustomXml="next"/>
        <w:sdt>
          <w:sdtPr>
            <w:rPr>
              <w:rFonts w:eastAsiaTheme="minorHAnsi" w:cs="Arial"/>
              <w:sz w:val="36"/>
              <w:szCs w:val="36"/>
            </w:rPr>
            <w:alias w:val="Title"/>
            <w:tag w:val=""/>
            <w:id w:val="1066156131"/>
            <w:placeholder>
              <w:docPart w:val="F59AC40FC2A44B53963CC9FEAF1FF1E9"/>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shd w:val="clear" w:color="auto" w:fill="FDE4D0"/>
                <w:tcMar>
                  <w:left w:w="0" w:type="dxa"/>
                  <w:right w:w="0" w:type="dxa"/>
                </w:tcMar>
                <w:vAlign w:val="center"/>
              </w:tcPr>
              <w:p w:rsidR="00E36474" w:rsidRPr="00E36474" w:rsidRDefault="005D45A8" w:rsidP="00137CDD">
                <w:pPr>
                  <w:pStyle w:val="Factsheettitle"/>
                </w:pPr>
                <w:r w:rsidRPr="005D45A8">
                  <w:rPr>
                    <w:rFonts w:eastAsiaTheme="minorHAnsi" w:cs="Arial"/>
                    <w:sz w:val="36"/>
                    <w:szCs w:val="36"/>
                  </w:rPr>
                  <w:t>Northern Territory response to Container Deposit Scheme (CDS) review</w:t>
                </w:r>
              </w:p>
            </w:tc>
          </w:sdtContent>
        </w:sdt>
      </w:tr>
    </w:tbl>
    <w:p w:rsidR="00AA7FC1" w:rsidRDefault="00AA7FC1" w:rsidP="00137CDD"/>
    <w:p w:rsidR="005D45A8" w:rsidRPr="0082215A" w:rsidRDefault="005D45A8" w:rsidP="005D45A8">
      <w:pPr>
        <w:rPr>
          <w:rFonts w:cs="Arial"/>
          <w:b/>
          <w:sz w:val="32"/>
          <w:szCs w:val="32"/>
        </w:rPr>
      </w:pPr>
      <w:r w:rsidRPr="0082215A">
        <w:rPr>
          <w:rFonts w:cs="Arial"/>
          <w:b/>
          <w:sz w:val="32"/>
          <w:szCs w:val="32"/>
        </w:rPr>
        <w:t>Background</w:t>
      </w:r>
    </w:p>
    <w:p w:rsidR="005D45A8" w:rsidRPr="00514985" w:rsidRDefault="005D45A8" w:rsidP="005D45A8">
      <w:pPr>
        <w:rPr>
          <w:rFonts w:cs="Arial"/>
          <w:sz w:val="24"/>
          <w:szCs w:val="24"/>
        </w:rPr>
      </w:pPr>
      <w:r w:rsidRPr="00514985">
        <w:rPr>
          <w:rFonts w:cs="Arial"/>
          <w:sz w:val="24"/>
          <w:szCs w:val="24"/>
        </w:rPr>
        <w:t>In 2018, an independent five year review of the Container Deposit Scheme (CDS) found that the scheme was effectively reducing beverage container waste and increasing resource recovery, reuse and recycling.  It also found that more than 80% of those who participated in the review, considered the scheme ‘successful’ or ‘very successful’.</w:t>
      </w:r>
    </w:p>
    <w:p w:rsidR="005D45A8" w:rsidRPr="00514985" w:rsidRDefault="005D45A8" w:rsidP="005D45A8">
      <w:pPr>
        <w:rPr>
          <w:rFonts w:cs="Arial"/>
          <w:sz w:val="24"/>
          <w:szCs w:val="24"/>
        </w:rPr>
      </w:pPr>
      <w:r w:rsidRPr="00514985">
        <w:rPr>
          <w:rFonts w:cs="Arial"/>
          <w:sz w:val="24"/>
          <w:szCs w:val="24"/>
        </w:rPr>
        <w:t>The review made 21 recommendations associated with opportunities for improvement in the scheme. These opportunities fall into five broad categories:</w:t>
      </w:r>
    </w:p>
    <w:p w:rsidR="005D45A8" w:rsidRPr="00A559D8" w:rsidRDefault="005D45A8" w:rsidP="005D45A8">
      <w:pPr>
        <w:pStyle w:val="ListParagraph"/>
        <w:numPr>
          <w:ilvl w:val="0"/>
          <w:numId w:val="43"/>
        </w:numPr>
        <w:tabs>
          <w:tab w:val="left" w:pos="426"/>
          <w:tab w:val="left" w:pos="2160"/>
          <w:tab w:val="left" w:pos="2880"/>
          <w:tab w:val="decimal" w:pos="5040"/>
          <w:tab w:val="decimal" w:pos="7200"/>
        </w:tabs>
        <w:ind w:left="426" w:hanging="426"/>
        <w:contextualSpacing/>
        <w:rPr>
          <w:rFonts w:cs="Arial"/>
          <w:sz w:val="24"/>
          <w:szCs w:val="24"/>
        </w:rPr>
      </w:pPr>
      <w:r w:rsidRPr="00A559D8">
        <w:rPr>
          <w:rFonts w:cs="Arial"/>
          <w:sz w:val="24"/>
          <w:szCs w:val="24"/>
        </w:rPr>
        <w:t>accessibility to the scheme in regional and remote areas, and broadening of the scheme to include currently exempt containers (e.g. wine bottles and milk cartons)</w:t>
      </w:r>
    </w:p>
    <w:p w:rsidR="005D45A8" w:rsidRPr="00A559D8" w:rsidRDefault="005D45A8" w:rsidP="005D45A8">
      <w:pPr>
        <w:pStyle w:val="ListParagraph"/>
        <w:numPr>
          <w:ilvl w:val="0"/>
          <w:numId w:val="43"/>
        </w:numPr>
        <w:tabs>
          <w:tab w:val="left" w:pos="426"/>
          <w:tab w:val="left" w:pos="2160"/>
          <w:tab w:val="left" w:pos="2880"/>
          <w:tab w:val="decimal" w:pos="5040"/>
          <w:tab w:val="decimal" w:pos="7200"/>
        </w:tabs>
        <w:ind w:left="426" w:hanging="426"/>
        <w:contextualSpacing/>
        <w:rPr>
          <w:rFonts w:cs="Arial"/>
          <w:sz w:val="24"/>
          <w:szCs w:val="24"/>
        </w:rPr>
      </w:pPr>
      <w:r w:rsidRPr="00A559D8">
        <w:rPr>
          <w:rFonts w:cs="Arial"/>
          <w:sz w:val="24"/>
          <w:szCs w:val="24"/>
        </w:rPr>
        <w:t>reducing administrative and regulatory burden on industry, businesses and the regulator</w:t>
      </w:r>
    </w:p>
    <w:p w:rsidR="005D45A8" w:rsidRPr="00A559D8" w:rsidRDefault="005D45A8" w:rsidP="005D45A8">
      <w:pPr>
        <w:pStyle w:val="ListParagraph"/>
        <w:numPr>
          <w:ilvl w:val="0"/>
          <w:numId w:val="43"/>
        </w:numPr>
        <w:tabs>
          <w:tab w:val="left" w:pos="426"/>
          <w:tab w:val="left" w:pos="2160"/>
          <w:tab w:val="left" w:pos="2880"/>
          <w:tab w:val="decimal" w:pos="5040"/>
          <w:tab w:val="decimal" w:pos="7200"/>
        </w:tabs>
        <w:ind w:left="426" w:hanging="426"/>
        <w:contextualSpacing/>
        <w:rPr>
          <w:rFonts w:cs="Arial"/>
          <w:sz w:val="24"/>
          <w:szCs w:val="24"/>
        </w:rPr>
      </w:pPr>
      <w:r w:rsidRPr="00A559D8">
        <w:rPr>
          <w:rFonts w:cs="Arial"/>
          <w:sz w:val="24"/>
          <w:szCs w:val="24"/>
        </w:rPr>
        <w:t>improved and target community awareness and engagement to ensure continued success of the scheme</w:t>
      </w:r>
    </w:p>
    <w:p w:rsidR="005D45A8" w:rsidRPr="00A559D8" w:rsidRDefault="005D45A8" w:rsidP="005D45A8">
      <w:pPr>
        <w:pStyle w:val="ListParagraph"/>
        <w:numPr>
          <w:ilvl w:val="0"/>
          <w:numId w:val="43"/>
        </w:numPr>
        <w:tabs>
          <w:tab w:val="left" w:pos="426"/>
          <w:tab w:val="left" w:pos="2160"/>
          <w:tab w:val="left" w:pos="2880"/>
          <w:tab w:val="decimal" w:pos="5040"/>
          <w:tab w:val="decimal" w:pos="7200"/>
        </w:tabs>
        <w:ind w:left="426" w:hanging="426"/>
        <w:contextualSpacing/>
        <w:rPr>
          <w:rFonts w:cs="Arial"/>
          <w:sz w:val="24"/>
          <w:szCs w:val="24"/>
        </w:rPr>
      </w:pPr>
      <w:r w:rsidRPr="00A559D8">
        <w:rPr>
          <w:rFonts w:cs="Arial"/>
          <w:sz w:val="24"/>
          <w:szCs w:val="24"/>
        </w:rPr>
        <w:t>improved data collection, analysis and reporting</w:t>
      </w:r>
    </w:p>
    <w:p w:rsidR="005D45A8" w:rsidRPr="00A559D8" w:rsidRDefault="005D45A8" w:rsidP="005D45A8">
      <w:pPr>
        <w:pStyle w:val="ListParagraph"/>
        <w:numPr>
          <w:ilvl w:val="0"/>
          <w:numId w:val="43"/>
        </w:numPr>
        <w:tabs>
          <w:tab w:val="left" w:pos="426"/>
          <w:tab w:val="left" w:pos="2160"/>
          <w:tab w:val="left" w:pos="2880"/>
          <w:tab w:val="decimal" w:pos="5040"/>
          <w:tab w:val="decimal" w:pos="7200"/>
        </w:tabs>
        <w:spacing w:after="0"/>
        <w:ind w:left="426" w:hanging="426"/>
        <w:contextualSpacing/>
        <w:rPr>
          <w:rFonts w:cs="Arial"/>
          <w:sz w:val="24"/>
          <w:szCs w:val="24"/>
        </w:rPr>
      </w:pPr>
      <w:r w:rsidRPr="00A559D8">
        <w:rPr>
          <w:rFonts w:cs="Arial"/>
          <w:sz w:val="24"/>
          <w:szCs w:val="24"/>
        </w:rPr>
        <w:t>a need to carry out regular auditing and compliance activities to ensure that the scheme is not compromised.</w:t>
      </w:r>
    </w:p>
    <w:p w:rsidR="005D45A8" w:rsidRPr="00514985" w:rsidRDefault="005D45A8" w:rsidP="005D45A8">
      <w:pPr>
        <w:spacing w:before="120"/>
        <w:rPr>
          <w:rFonts w:cs="Arial"/>
          <w:sz w:val="24"/>
          <w:szCs w:val="24"/>
        </w:rPr>
      </w:pPr>
      <w:r w:rsidRPr="00514985">
        <w:rPr>
          <w:rFonts w:cs="Arial"/>
          <w:sz w:val="24"/>
          <w:szCs w:val="24"/>
        </w:rPr>
        <w:t xml:space="preserve">Of the 21 recommendations, the </w:t>
      </w:r>
      <w:r>
        <w:rPr>
          <w:rFonts w:cs="Arial"/>
          <w:sz w:val="24"/>
          <w:szCs w:val="24"/>
        </w:rPr>
        <w:t xml:space="preserve">Northern </w:t>
      </w:r>
      <w:r w:rsidRPr="00514985">
        <w:rPr>
          <w:rFonts w:cs="Arial"/>
          <w:sz w:val="24"/>
          <w:szCs w:val="24"/>
        </w:rPr>
        <w:t xml:space="preserve">Territory Government will support 17 in full, two in principle and two will be subject to further consideration. </w:t>
      </w:r>
    </w:p>
    <w:p w:rsidR="00803BAA" w:rsidRDefault="00803BAA" w:rsidP="00137CDD"/>
    <w:p w:rsidR="00803BAA" w:rsidRDefault="00803BAA" w:rsidP="00137CDD"/>
    <w:p w:rsidR="00803BAA" w:rsidRDefault="00803BAA" w:rsidP="00137CDD">
      <w:pPr>
        <w:sectPr w:rsidR="00803BAA" w:rsidSect="00803BAA">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pPr>
    </w:p>
    <w:p w:rsidR="00202CFC" w:rsidRDefault="00202CFC" w:rsidP="005D5CA2">
      <w:pPr>
        <w:rPr>
          <w:rFonts w:cs="Arial"/>
          <w:b/>
          <w:sz w:val="32"/>
          <w:szCs w:val="32"/>
        </w:rPr>
      </w:pPr>
      <w:r w:rsidRPr="0082215A">
        <w:rPr>
          <w:rFonts w:cs="Arial"/>
          <w:b/>
          <w:sz w:val="32"/>
          <w:szCs w:val="32"/>
        </w:rPr>
        <w:lastRenderedPageBreak/>
        <w:t>Implementing the recommendations</w:t>
      </w:r>
    </w:p>
    <w:tbl>
      <w:tblPr>
        <w:tblStyle w:val="TableGrid"/>
        <w:tblW w:w="15631" w:type="dxa"/>
        <w:tblInd w:w="-856" w:type="dxa"/>
        <w:tblLook w:val="04A0" w:firstRow="1" w:lastRow="0" w:firstColumn="1" w:lastColumn="0" w:noHBand="0" w:noVBand="1"/>
      </w:tblPr>
      <w:tblGrid>
        <w:gridCol w:w="6964"/>
        <w:gridCol w:w="6252"/>
        <w:gridCol w:w="2415"/>
      </w:tblGrid>
      <w:tr w:rsidR="00202CFC" w:rsidRPr="00241AFC" w:rsidTr="002B3FB1">
        <w:trPr>
          <w:trHeight w:val="538"/>
        </w:trPr>
        <w:tc>
          <w:tcPr>
            <w:tcW w:w="6964" w:type="dxa"/>
            <w:shd w:val="clear" w:color="auto" w:fill="3C3C3C" w:themeFill="background2" w:themeFillShade="40"/>
          </w:tcPr>
          <w:p w:rsidR="00202CFC" w:rsidRPr="00241AFC" w:rsidRDefault="00202CFC" w:rsidP="004C365C">
            <w:pPr>
              <w:ind w:left="748" w:hanging="748"/>
              <w:rPr>
                <w:rFonts w:cs="Arial"/>
                <w:b/>
                <w:sz w:val="20"/>
                <w:szCs w:val="20"/>
              </w:rPr>
            </w:pPr>
            <w:r w:rsidRPr="00241AFC">
              <w:rPr>
                <w:rFonts w:cs="Arial"/>
                <w:b/>
                <w:sz w:val="20"/>
                <w:szCs w:val="20"/>
              </w:rPr>
              <w:t>Review recommendation</w:t>
            </w:r>
          </w:p>
        </w:tc>
        <w:tc>
          <w:tcPr>
            <w:tcW w:w="6252" w:type="dxa"/>
            <w:shd w:val="clear" w:color="auto" w:fill="3C3C3C" w:themeFill="background2" w:themeFillShade="40"/>
          </w:tcPr>
          <w:p w:rsidR="00202CFC" w:rsidRPr="00241AFC" w:rsidRDefault="00202CFC" w:rsidP="004C365C">
            <w:pPr>
              <w:rPr>
                <w:rFonts w:cs="Arial"/>
                <w:b/>
                <w:sz w:val="20"/>
                <w:szCs w:val="20"/>
              </w:rPr>
            </w:pPr>
            <w:r w:rsidRPr="00241AFC">
              <w:rPr>
                <w:rFonts w:cs="Arial"/>
                <w:b/>
                <w:sz w:val="20"/>
                <w:szCs w:val="20"/>
              </w:rPr>
              <w:t>Response</w:t>
            </w:r>
          </w:p>
        </w:tc>
        <w:tc>
          <w:tcPr>
            <w:tcW w:w="2415" w:type="dxa"/>
            <w:shd w:val="clear" w:color="auto" w:fill="3C3C3C" w:themeFill="background2" w:themeFillShade="40"/>
          </w:tcPr>
          <w:p w:rsidR="00202CFC" w:rsidRPr="00241AFC" w:rsidRDefault="00202CFC" w:rsidP="004C365C">
            <w:pPr>
              <w:rPr>
                <w:rFonts w:cs="Arial"/>
                <w:b/>
                <w:sz w:val="20"/>
                <w:szCs w:val="20"/>
              </w:rPr>
            </w:pPr>
            <w:r w:rsidRPr="00241AFC">
              <w:rPr>
                <w:rFonts w:cs="Arial"/>
                <w:b/>
                <w:sz w:val="20"/>
                <w:szCs w:val="20"/>
              </w:rPr>
              <w:t>Timeframe</w:t>
            </w:r>
          </w:p>
        </w:tc>
      </w:tr>
      <w:tr w:rsidR="00202CFC" w:rsidRPr="00241AFC" w:rsidTr="002B3FB1">
        <w:trPr>
          <w:trHeight w:val="2825"/>
        </w:trPr>
        <w:tc>
          <w:tcPr>
            <w:tcW w:w="6964" w:type="dxa"/>
          </w:tcPr>
          <w:p w:rsidR="00202CFC" w:rsidRPr="00241AFC" w:rsidRDefault="00202CFC" w:rsidP="004C365C">
            <w:pPr>
              <w:rPr>
                <w:rFonts w:cs="Arial"/>
                <w:b/>
                <w:sz w:val="20"/>
                <w:szCs w:val="20"/>
              </w:rPr>
            </w:pPr>
            <w:r w:rsidRPr="00241AFC">
              <w:rPr>
                <w:rFonts w:cs="Arial"/>
                <w:b/>
                <w:sz w:val="20"/>
                <w:szCs w:val="20"/>
              </w:rPr>
              <w:t>Recommendation 1</w:t>
            </w:r>
          </w:p>
          <w:p w:rsidR="00202CFC" w:rsidRPr="00241AFC" w:rsidRDefault="00202CFC" w:rsidP="004C365C">
            <w:pPr>
              <w:rPr>
                <w:rFonts w:cs="Arial"/>
                <w:sz w:val="20"/>
                <w:szCs w:val="20"/>
              </w:rPr>
            </w:pPr>
            <w:r w:rsidRPr="00241AFC">
              <w:rPr>
                <w:rFonts w:cs="Arial"/>
                <w:sz w:val="20"/>
                <w:szCs w:val="20"/>
              </w:rPr>
              <w:t>Consider the rationale and approach to excluding beverages and exempting containers from the scheme in order to ensure a well-defined, clear, and consistent container scope, which is aligned to all key objectives of the CDS.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b/>
                <w:sz w:val="20"/>
                <w:szCs w:val="20"/>
              </w:rPr>
              <w:t>Priority:</w:t>
            </w:r>
            <w:r w:rsidRPr="00241AFC">
              <w:rPr>
                <w:rFonts w:cs="Arial"/>
                <w:sz w:val="20"/>
                <w:szCs w:val="20"/>
              </w:rPr>
              <w:t xml:space="preserve"> High</w:t>
            </w:r>
          </w:p>
          <w:p w:rsidR="00202CFC" w:rsidRPr="00241AFC" w:rsidRDefault="00202CFC" w:rsidP="004C365C">
            <w:pPr>
              <w:rPr>
                <w:rFonts w:cs="Arial"/>
                <w:sz w:val="20"/>
                <w:szCs w:val="20"/>
              </w:rPr>
            </w:pPr>
          </w:p>
        </w:tc>
        <w:tc>
          <w:tcPr>
            <w:tcW w:w="6252" w:type="dxa"/>
          </w:tcPr>
          <w:p w:rsidR="00202CFC" w:rsidRDefault="00202CFC" w:rsidP="004C365C">
            <w:pPr>
              <w:rPr>
                <w:rFonts w:cs="Arial"/>
                <w:sz w:val="20"/>
                <w:szCs w:val="20"/>
              </w:rPr>
            </w:pPr>
            <w:r w:rsidRPr="00241AFC">
              <w:rPr>
                <w:rFonts w:cs="Arial"/>
                <w:sz w:val="20"/>
                <w:szCs w:val="20"/>
              </w:rPr>
              <w:t>Explore options for improvements to the current regulatory framework</w:t>
            </w:r>
            <w:r>
              <w:rPr>
                <w:rFonts w:cs="Arial"/>
                <w:sz w:val="20"/>
                <w:szCs w:val="20"/>
              </w:rPr>
              <w:t xml:space="preserve"> to reduce complexity in containers included in the </w:t>
            </w:r>
            <w:r w:rsidRPr="00043477">
              <w:rPr>
                <w:rFonts w:cs="Arial"/>
                <w:sz w:val="20"/>
                <w:szCs w:val="20"/>
              </w:rPr>
              <w:t>Container Deposit Scheme (CDS)</w:t>
            </w:r>
            <w:r>
              <w:rPr>
                <w:rFonts w:cs="Arial"/>
                <w:sz w:val="20"/>
                <w:szCs w:val="20"/>
              </w:rPr>
              <w:t xml:space="preserve">, and the likely impacts of any proposed changes </w:t>
            </w:r>
          </w:p>
          <w:p w:rsidR="00202CFC" w:rsidRDefault="00202CFC" w:rsidP="004C365C">
            <w:pPr>
              <w:rPr>
                <w:rFonts w:cs="Arial"/>
                <w:sz w:val="20"/>
                <w:szCs w:val="20"/>
              </w:rPr>
            </w:pPr>
          </w:p>
          <w:p w:rsidR="00202CFC" w:rsidRPr="00241AFC" w:rsidRDefault="00202CFC" w:rsidP="004C365C">
            <w:pPr>
              <w:rPr>
                <w:rFonts w:cs="Arial"/>
                <w:sz w:val="20"/>
                <w:szCs w:val="20"/>
              </w:rPr>
            </w:pPr>
            <w:r w:rsidRPr="0052396A">
              <w:rPr>
                <w:rFonts w:cs="Arial"/>
                <w:sz w:val="20"/>
                <w:szCs w:val="20"/>
              </w:rPr>
              <w:t>Improve community education and awareness of containers included in</w:t>
            </w:r>
            <w:r>
              <w:rPr>
                <w:rFonts w:cs="Arial"/>
                <w:sz w:val="20"/>
                <w:szCs w:val="20"/>
              </w:rPr>
              <w:t xml:space="preserve"> CDS</w:t>
            </w:r>
          </w:p>
        </w:tc>
        <w:tc>
          <w:tcPr>
            <w:tcW w:w="2415" w:type="dxa"/>
          </w:tcPr>
          <w:p w:rsidR="00202CFC" w:rsidRPr="00241AFC" w:rsidRDefault="00202CFC" w:rsidP="004C365C">
            <w:pPr>
              <w:rPr>
                <w:rFonts w:cs="Arial"/>
                <w:sz w:val="20"/>
                <w:szCs w:val="20"/>
              </w:rPr>
            </w:pPr>
            <w:r>
              <w:rPr>
                <w:rFonts w:cs="Arial"/>
                <w:sz w:val="20"/>
                <w:szCs w:val="20"/>
              </w:rPr>
              <w:t>2 y</w:t>
            </w:r>
            <w:r w:rsidRPr="00241AFC">
              <w:rPr>
                <w:rFonts w:cs="Arial"/>
                <w:sz w:val="20"/>
                <w:szCs w:val="20"/>
              </w:rPr>
              <w:t>ears</w:t>
            </w:r>
          </w:p>
        </w:tc>
      </w:tr>
      <w:tr w:rsidR="00202CFC" w:rsidRPr="00241AFC" w:rsidTr="002B3FB1">
        <w:trPr>
          <w:trHeight w:val="3315"/>
        </w:trPr>
        <w:tc>
          <w:tcPr>
            <w:tcW w:w="6964" w:type="dxa"/>
          </w:tcPr>
          <w:p w:rsidR="00202CFC" w:rsidRPr="00241AFC" w:rsidRDefault="00202CFC" w:rsidP="004C365C">
            <w:pPr>
              <w:rPr>
                <w:rFonts w:cs="Arial"/>
                <w:b/>
                <w:bCs/>
                <w:sz w:val="20"/>
                <w:szCs w:val="20"/>
              </w:rPr>
            </w:pPr>
            <w:r w:rsidRPr="00241AFC">
              <w:rPr>
                <w:rFonts w:cs="Arial"/>
                <w:b/>
                <w:bCs/>
                <w:sz w:val="20"/>
                <w:szCs w:val="20"/>
              </w:rPr>
              <w:t>Recommendation 2:</w:t>
            </w:r>
          </w:p>
          <w:p w:rsidR="00202CFC" w:rsidRPr="00241AFC" w:rsidRDefault="00202CFC" w:rsidP="004C365C">
            <w:pPr>
              <w:rPr>
                <w:rFonts w:cs="Arial"/>
                <w:bCs/>
                <w:sz w:val="20"/>
                <w:szCs w:val="20"/>
              </w:rPr>
            </w:pPr>
            <w:r w:rsidRPr="00241AFC">
              <w:rPr>
                <w:rFonts w:cs="Arial"/>
                <w:bCs/>
                <w:sz w:val="20"/>
                <w:szCs w:val="20"/>
              </w:rPr>
              <w:t xml:space="preserve">Determine the feasibility of including additional containers as regulated containers and increasing the scope of containers regulated under the scheme, considering specifically wine/spirituous liquor containers and milk bottles as well as excluded beverages and exempt containers where a similar container is currently a regulated container. In determining the feasibility of including additional containers, consider also factors such as the recyclability of the container material and markets available for the recycled container material. </w:t>
            </w:r>
          </w:p>
          <w:p w:rsidR="00202CFC" w:rsidRPr="00241AFC" w:rsidRDefault="00202CFC" w:rsidP="004C365C">
            <w:pPr>
              <w:rPr>
                <w:rFonts w:cs="Arial"/>
                <w:sz w:val="20"/>
                <w:szCs w:val="20"/>
              </w:rPr>
            </w:pPr>
            <w:r w:rsidRPr="00241AFC">
              <w:rPr>
                <w:rFonts w:cs="Arial"/>
                <w:b/>
                <w:sz w:val="20"/>
                <w:szCs w:val="20"/>
              </w:rPr>
              <w:t>Priority:</w:t>
            </w:r>
            <w:r w:rsidRPr="00241AFC">
              <w:rPr>
                <w:rFonts w:cs="Arial"/>
                <w:sz w:val="20"/>
                <w:szCs w:val="20"/>
              </w:rPr>
              <w:t xml:space="preserve"> High</w:t>
            </w:r>
          </w:p>
          <w:p w:rsidR="00202CFC" w:rsidRPr="00892467" w:rsidRDefault="00202CFC" w:rsidP="004C365C">
            <w:pPr>
              <w:rPr>
                <w:rFonts w:cs="Arial"/>
                <w:sz w:val="20"/>
                <w:szCs w:val="20"/>
              </w:rPr>
            </w:pPr>
          </w:p>
        </w:tc>
        <w:tc>
          <w:tcPr>
            <w:tcW w:w="6252" w:type="dxa"/>
          </w:tcPr>
          <w:p w:rsidR="00202CFC" w:rsidRDefault="00202CFC" w:rsidP="004C365C">
            <w:pPr>
              <w:rPr>
                <w:rFonts w:cs="Arial"/>
                <w:sz w:val="20"/>
                <w:szCs w:val="20"/>
              </w:rPr>
            </w:pPr>
            <w:r w:rsidRPr="006E6C1F">
              <w:rPr>
                <w:rFonts w:cs="Arial"/>
                <w:sz w:val="20"/>
                <w:szCs w:val="20"/>
              </w:rPr>
              <w:t>Explore options for improvements to the current regulatory</w:t>
            </w:r>
            <w:r>
              <w:rPr>
                <w:rFonts w:cs="Arial"/>
                <w:sz w:val="20"/>
                <w:szCs w:val="20"/>
              </w:rPr>
              <w:t xml:space="preserve"> framework, </w:t>
            </w:r>
            <w:r w:rsidRPr="00F00863">
              <w:rPr>
                <w:rFonts w:cs="Arial"/>
                <w:sz w:val="20"/>
                <w:szCs w:val="20"/>
              </w:rPr>
              <w:t>the likely impacts of any proposed changes</w:t>
            </w:r>
            <w:r>
              <w:rPr>
                <w:rFonts w:cs="Arial"/>
                <w:sz w:val="20"/>
                <w:szCs w:val="20"/>
              </w:rPr>
              <w:t>,</w:t>
            </w:r>
          </w:p>
          <w:p w:rsidR="00202C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 xml:space="preserve">Improve community education and awareness of containers included in </w:t>
            </w:r>
            <w:r>
              <w:rPr>
                <w:rFonts w:cs="Arial"/>
                <w:sz w:val="20"/>
                <w:szCs w:val="20"/>
              </w:rPr>
              <w:t>CDS</w:t>
            </w:r>
          </w:p>
        </w:tc>
        <w:tc>
          <w:tcPr>
            <w:tcW w:w="2415" w:type="dxa"/>
          </w:tcPr>
          <w:p w:rsidR="00202CFC" w:rsidRPr="00241AFC" w:rsidRDefault="00202CFC" w:rsidP="004C365C">
            <w:pPr>
              <w:rPr>
                <w:rFonts w:cs="Arial"/>
                <w:sz w:val="20"/>
                <w:szCs w:val="20"/>
              </w:rPr>
            </w:pPr>
            <w:r>
              <w:rPr>
                <w:rFonts w:cs="Arial"/>
                <w:sz w:val="20"/>
                <w:szCs w:val="20"/>
              </w:rPr>
              <w:t>2 y</w:t>
            </w:r>
            <w:r w:rsidRPr="00241AFC">
              <w:rPr>
                <w:rFonts w:cs="Arial"/>
                <w:sz w:val="20"/>
                <w:szCs w:val="20"/>
              </w:rPr>
              <w:t>ears</w:t>
            </w:r>
          </w:p>
        </w:tc>
      </w:tr>
      <w:tr w:rsidR="00202CFC" w:rsidRPr="00241AFC" w:rsidTr="002B3FB1">
        <w:trPr>
          <w:trHeight w:val="1737"/>
        </w:trPr>
        <w:tc>
          <w:tcPr>
            <w:tcW w:w="6964" w:type="dxa"/>
          </w:tcPr>
          <w:p w:rsidR="00202CFC" w:rsidRPr="00241AFC" w:rsidRDefault="00202CFC" w:rsidP="004C365C">
            <w:pPr>
              <w:rPr>
                <w:rFonts w:cs="Arial"/>
                <w:b/>
                <w:bCs/>
                <w:sz w:val="20"/>
                <w:szCs w:val="20"/>
              </w:rPr>
            </w:pPr>
            <w:r w:rsidRPr="00241AFC">
              <w:rPr>
                <w:rFonts w:cs="Arial"/>
                <w:b/>
                <w:bCs/>
                <w:sz w:val="20"/>
                <w:szCs w:val="20"/>
              </w:rPr>
              <w:t>Recommendation 3:</w:t>
            </w:r>
          </w:p>
          <w:p w:rsidR="00202CFC" w:rsidRPr="00241AFC" w:rsidRDefault="00202CFC" w:rsidP="004C365C">
            <w:pPr>
              <w:rPr>
                <w:rFonts w:cs="Arial"/>
                <w:b/>
                <w:bCs/>
                <w:sz w:val="20"/>
                <w:szCs w:val="20"/>
              </w:rPr>
            </w:pPr>
            <w:r w:rsidRPr="00241AFC">
              <w:rPr>
                <w:rFonts w:cs="Arial"/>
                <w:bCs/>
                <w:sz w:val="20"/>
                <w:szCs w:val="20"/>
              </w:rPr>
              <w:t>Increase focus on communication and awareness raising about the CDS, including providing accurate and up to date information on the types of containers regulated under the scheme.</w:t>
            </w:r>
          </w:p>
          <w:p w:rsidR="00202CFC" w:rsidRPr="00241AFC" w:rsidRDefault="00202CFC" w:rsidP="004C365C">
            <w:pPr>
              <w:rPr>
                <w:rFonts w:cs="Arial"/>
                <w:sz w:val="20"/>
                <w:szCs w:val="20"/>
              </w:rPr>
            </w:pPr>
            <w:r w:rsidRPr="00241AFC">
              <w:rPr>
                <w:rFonts w:cs="Arial"/>
                <w:b/>
                <w:bCs/>
                <w:sz w:val="20"/>
                <w:szCs w:val="20"/>
              </w:rPr>
              <w:t xml:space="preserve">Priority: </w:t>
            </w:r>
            <w:r w:rsidRPr="00241AFC">
              <w:rPr>
                <w:rFonts w:cs="Arial"/>
                <w:bCs/>
                <w:sz w:val="20"/>
                <w:szCs w:val="20"/>
              </w:rPr>
              <w:t>High</w:t>
            </w:r>
          </w:p>
        </w:tc>
        <w:tc>
          <w:tcPr>
            <w:tcW w:w="6252" w:type="dxa"/>
          </w:tcPr>
          <w:p w:rsidR="00202CFC" w:rsidRPr="00241AFC" w:rsidRDefault="00202CFC" w:rsidP="004C365C">
            <w:pPr>
              <w:rPr>
                <w:rFonts w:cs="Arial"/>
                <w:sz w:val="20"/>
                <w:szCs w:val="20"/>
              </w:rPr>
            </w:pPr>
            <w:r>
              <w:rPr>
                <w:rFonts w:cs="Arial"/>
                <w:sz w:val="20"/>
                <w:szCs w:val="20"/>
              </w:rPr>
              <w:t>Implement a community engagement and education strategy to increase community awareness</w:t>
            </w:r>
          </w:p>
        </w:tc>
        <w:tc>
          <w:tcPr>
            <w:tcW w:w="2415" w:type="dxa"/>
          </w:tcPr>
          <w:p w:rsidR="00202CFC" w:rsidRPr="00241AFC" w:rsidRDefault="00202CFC" w:rsidP="004C365C">
            <w:pPr>
              <w:rPr>
                <w:rFonts w:cs="Arial"/>
                <w:sz w:val="20"/>
                <w:szCs w:val="20"/>
              </w:rPr>
            </w:pPr>
            <w:r w:rsidRPr="00241AFC">
              <w:rPr>
                <w:rFonts w:cs="Arial"/>
                <w:sz w:val="20"/>
                <w:szCs w:val="20"/>
              </w:rPr>
              <w:t>6 months</w:t>
            </w:r>
          </w:p>
        </w:tc>
      </w:tr>
      <w:tr w:rsidR="00202CFC" w:rsidRPr="00241AFC" w:rsidTr="002B3FB1">
        <w:trPr>
          <w:trHeight w:val="2360"/>
        </w:trPr>
        <w:tc>
          <w:tcPr>
            <w:tcW w:w="6964" w:type="dxa"/>
          </w:tcPr>
          <w:p w:rsidR="00202CFC" w:rsidRDefault="00202CFC" w:rsidP="004C365C">
            <w:pPr>
              <w:rPr>
                <w:rFonts w:cs="Arial"/>
                <w:bCs/>
                <w:sz w:val="20"/>
                <w:szCs w:val="20"/>
              </w:rPr>
            </w:pPr>
            <w:r w:rsidRPr="00241AFC">
              <w:rPr>
                <w:rFonts w:cs="Arial"/>
                <w:b/>
                <w:bCs/>
                <w:sz w:val="20"/>
                <w:szCs w:val="20"/>
              </w:rPr>
              <w:t>Recommendation 4:</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Remove the requirement for a statutory declaration to be signed for deposits of 1,500 containers or more.</w:t>
            </w:r>
          </w:p>
          <w:p w:rsidR="00202CFC" w:rsidRPr="00241AFC" w:rsidRDefault="00202CFC" w:rsidP="004C365C">
            <w:pPr>
              <w:rPr>
                <w:rFonts w:cs="Arial"/>
                <w:b/>
                <w:bCs/>
                <w:sz w:val="20"/>
                <w:szCs w:val="20"/>
              </w:rPr>
            </w:pPr>
          </w:p>
          <w:p w:rsidR="00202CFC" w:rsidRPr="00241AFC" w:rsidRDefault="00202CFC" w:rsidP="004C365C">
            <w:pPr>
              <w:rPr>
                <w:rFonts w:cs="Arial"/>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sz w:val="20"/>
                <w:szCs w:val="20"/>
              </w:rPr>
            </w:pPr>
          </w:p>
        </w:tc>
        <w:tc>
          <w:tcPr>
            <w:tcW w:w="6252" w:type="dxa"/>
          </w:tcPr>
          <w:p w:rsidR="00202CFC" w:rsidRPr="00241AFC" w:rsidRDefault="00202CFC" w:rsidP="004C365C">
            <w:pPr>
              <w:rPr>
                <w:rFonts w:cs="Arial"/>
                <w:sz w:val="20"/>
                <w:szCs w:val="20"/>
              </w:rPr>
            </w:pPr>
            <w:r>
              <w:rPr>
                <w:rFonts w:cs="Arial"/>
                <w:sz w:val="20"/>
                <w:szCs w:val="20"/>
              </w:rPr>
              <w:t xml:space="preserve">Review the need for collection depots to require customers to sign statutory declarations when depositing bulk containers </w:t>
            </w:r>
          </w:p>
        </w:tc>
        <w:tc>
          <w:tcPr>
            <w:tcW w:w="2415" w:type="dxa"/>
          </w:tcPr>
          <w:p w:rsidR="00202CFC" w:rsidRPr="00241AFC" w:rsidRDefault="00202CFC" w:rsidP="004C365C">
            <w:pPr>
              <w:rPr>
                <w:rFonts w:cs="Arial"/>
                <w:sz w:val="20"/>
                <w:szCs w:val="20"/>
              </w:rPr>
            </w:pPr>
            <w:r w:rsidRPr="00241AFC">
              <w:rPr>
                <w:rFonts w:cs="Arial"/>
                <w:sz w:val="20"/>
                <w:szCs w:val="20"/>
              </w:rPr>
              <w:t>2 years</w:t>
            </w:r>
          </w:p>
        </w:tc>
      </w:tr>
      <w:tr w:rsidR="00202CFC" w:rsidRPr="00241AFC" w:rsidTr="002B3FB1">
        <w:trPr>
          <w:trHeight w:val="2851"/>
        </w:trPr>
        <w:tc>
          <w:tcPr>
            <w:tcW w:w="6964" w:type="dxa"/>
          </w:tcPr>
          <w:p w:rsidR="00202CFC" w:rsidRPr="00241AFC" w:rsidRDefault="00202CFC" w:rsidP="004C365C">
            <w:pPr>
              <w:rPr>
                <w:rFonts w:cs="Arial"/>
                <w:bCs/>
                <w:sz w:val="20"/>
                <w:szCs w:val="20"/>
              </w:rPr>
            </w:pPr>
            <w:r w:rsidRPr="00241AFC">
              <w:rPr>
                <w:rFonts w:cs="Arial"/>
                <w:b/>
                <w:bCs/>
                <w:sz w:val="20"/>
                <w:szCs w:val="20"/>
              </w:rPr>
              <w:t>Recommendation 5:</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Shift the focus of the NT EPA from a clerical administrative role, to an advocacy, compliance and audit function, in order for the NT EPA to play a more strategic management and oversight role in the CDS. Assess the NT EPA’s resource allocation (both financial, human and technological) to determine additional resource requirements in order to support the desired function and role in the CDS.</w:t>
            </w:r>
          </w:p>
          <w:p w:rsidR="00202CFC" w:rsidRPr="00241AFC" w:rsidRDefault="00202CFC" w:rsidP="004C365C">
            <w:pPr>
              <w:rPr>
                <w:rFonts w:cs="Arial"/>
                <w:b/>
                <w:bCs/>
                <w:sz w:val="20"/>
                <w:szCs w:val="20"/>
              </w:rPr>
            </w:pPr>
          </w:p>
          <w:p w:rsidR="00202CFC" w:rsidRPr="00241AFC" w:rsidRDefault="00202CFC" w:rsidP="004C365C">
            <w:pPr>
              <w:rPr>
                <w:rFonts w:cs="Arial"/>
                <w:sz w:val="20"/>
                <w:szCs w:val="20"/>
              </w:rPr>
            </w:pPr>
            <w:r w:rsidRPr="00241AFC">
              <w:rPr>
                <w:rFonts w:cs="Arial"/>
                <w:b/>
                <w:bCs/>
                <w:sz w:val="20"/>
                <w:szCs w:val="20"/>
              </w:rPr>
              <w:t xml:space="preserve">Priority: </w:t>
            </w:r>
            <w:r w:rsidRPr="00241AFC">
              <w:rPr>
                <w:rFonts w:cs="Arial"/>
                <w:bCs/>
                <w:sz w:val="20"/>
                <w:szCs w:val="20"/>
              </w:rPr>
              <w:t>High</w:t>
            </w:r>
          </w:p>
        </w:tc>
        <w:tc>
          <w:tcPr>
            <w:tcW w:w="6252" w:type="dxa"/>
          </w:tcPr>
          <w:p w:rsidR="00202CFC" w:rsidRPr="00241AFC" w:rsidRDefault="00202CFC" w:rsidP="004C365C">
            <w:pPr>
              <w:rPr>
                <w:rFonts w:cs="Arial"/>
                <w:sz w:val="20"/>
                <w:szCs w:val="20"/>
              </w:rPr>
            </w:pPr>
            <w:r w:rsidRPr="00241AFC">
              <w:rPr>
                <w:rFonts w:cs="Arial"/>
                <w:sz w:val="20"/>
                <w:szCs w:val="20"/>
              </w:rPr>
              <w:t>Develop a compliance and enforcement guideline for CDS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Review NT EPA’s resource allocation</w:t>
            </w:r>
            <w:r>
              <w:rPr>
                <w:rFonts w:cs="Arial"/>
                <w:sz w:val="20"/>
                <w:szCs w:val="20"/>
              </w:rPr>
              <w:t xml:space="preserve"> </w:t>
            </w:r>
          </w:p>
        </w:tc>
        <w:tc>
          <w:tcPr>
            <w:tcW w:w="2415" w:type="dxa"/>
          </w:tcPr>
          <w:p w:rsidR="00202CFC" w:rsidRPr="00241AFC" w:rsidRDefault="00202CFC" w:rsidP="004C365C">
            <w:pPr>
              <w:rPr>
                <w:rFonts w:cs="Arial"/>
                <w:sz w:val="20"/>
                <w:szCs w:val="20"/>
              </w:rPr>
            </w:pPr>
            <w:r w:rsidRPr="00241AFC">
              <w:rPr>
                <w:rFonts w:cs="Arial"/>
                <w:sz w:val="20"/>
                <w:szCs w:val="20"/>
              </w:rPr>
              <w:t>6 months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2 years</w:t>
            </w:r>
          </w:p>
        </w:tc>
      </w:tr>
      <w:tr w:rsidR="00202CFC" w:rsidRPr="00241AFC" w:rsidTr="002B3FB1">
        <w:trPr>
          <w:trHeight w:val="3448"/>
        </w:trPr>
        <w:tc>
          <w:tcPr>
            <w:tcW w:w="6964" w:type="dxa"/>
          </w:tcPr>
          <w:p w:rsidR="00202CFC" w:rsidRPr="00241AFC" w:rsidRDefault="00202CFC" w:rsidP="004C365C">
            <w:pPr>
              <w:rPr>
                <w:rFonts w:cs="Arial"/>
                <w:bCs/>
                <w:sz w:val="20"/>
                <w:szCs w:val="20"/>
              </w:rPr>
            </w:pPr>
            <w:r w:rsidRPr="00241AFC">
              <w:rPr>
                <w:rFonts w:cs="Arial"/>
                <w:b/>
                <w:bCs/>
                <w:sz w:val="20"/>
                <w:szCs w:val="20"/>
              </w:rPr>
              <w:lastRenderedPageBreak/>
              <w:t>Recommendation 6:</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Work with CDS Coordinators, Collection Depot Operators and retailers to promote the establishment of Reverse Vending Machines (RVMs) at retail outlets and precincts and other areas of high public foot traffic. Retailers could also be encouraged to set up collection points in partnership with a community organisation/charity and all proceeds donated to that community organisation/charity.</w:t>
            </w:r>
          </w:p>
          <w:p w:rsidR="00202CFC" w:rsidRPr="00241AFC" w:rsidRDefault="00202CFC" w:rsidP="004C365C">
            <w:pPr>
              <w:tabs>
                <w:tab w:val="left" w:pos="1650"/>
              </w:tabs>
              <w:rPr>
                <w:rFonts w:cs="Arial"/>
                <w:bCs/>
                <w:sz w:val="20"/>
                <w:szCs w:val="20"/>
              </w:rPr>
            </w:pPr>
            <w:r w:rsidRPr="00241AFC">
              <w:rPr>
                <w:rFonts w:cs="Arial"/>
                <w:bCs/>
                <w:sz w:val="20"/>
                <w:szCs w:val="20"/>
              </w:rPr>
              <w:tab/>
            </w:r>
          </w:p>
          <w:p w:rsidR="00202C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Medium</w:t>
            </w:r>
          </w:p>
          <w:p w:rsidR="0074115B" w:rsidRDefault="0074115B" w:rsidP="004C365C">
            <w:pPr>
              <w:rPr>
                <w:rFonts w:cs="Arial"/>
                <w:bCs/>
                <w:sz w:val="20"/>
                <w:szCs w:val="20"/>
              </w:rPr>
            </w:pPr>
          </w:p>
          <w:p w:rsidR="0074115B" w:rsidRPr="00241AFC" w:rsidRDefault="0074115B" w:rsidP="004C365C">
            <w:pPr>
              <w:rPr>
                <w:rFonts w:cs="Arial"/>
                <w:sz w:val="20"/>
                <w:szCs w:val="20"/>
              </w:rPr>
            </w:pPr>
          </w:p>
        </w:tc>
        <w:tc>
          <w:tcPr>
            <w:tcW w:w="6252" w:type="dxa"/>
          </w:tcPr>
          <w:p w:rsidR="00202CFC" w:rsidRDefault="00202CFC" w:rsidP="004C365C">
            <w:pPr>
              <w:rPr>
                <w:rFonts w:cs="Arial"/>
                <w:sz w:val="20"/>
                <w:szCs w:val="20"/>
              </w:rPr>
            </w:pPr>
            <w:r>
              <w:rPr>
                <w:rFonts w:cs="Arial"/>
                <w:sz w:val="20"/>
                <w:szCs w:val="20"/>
              </w:rPr>
              <w:t>Develop a community engagement strategy focusing on public access to facilities for depositing empty containers</w:t>
            </w:r>
          </w:p>
          <w:p w:rsidR="00202C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 xml:space="preserve">Community </w:t>
            </w:r>
            <w:r>
              <w:rPr>
                <w:rFonts w:cs="Arial"/>
                <w:sz w:val="20"/>
                <w:szCs w:val="20"/>
              </w:rPr>
              <w:t>e</w:t>
            </w:r>
            <w:r w:rsidRPr="00241AFC">
              <w:rPr>
                <w:rFonts w:cs="Arial"/>
                <w:sz w:val="20"/>
                <w:szCs w:val="20"/>
              </w:rPr>
              <w:t>ngagement with key stakeholders</w:t>
            </w:r>
            <w:r>
              <w:rPr>
                <w:rFonts w:cs="Arial"/>
                <w:sz w:val="20"/>
                <w:szCs w:val="20"/>
              </w:rPr>
              <w:t xml:space="preserve"> to support and promote increased public access to container collection facilities</w:t>
            </w:r>
          </w:p>
          <w:p w:rsidR="00202CFC" w:rsidRPr="00241AFC" w:rsidRDefault="00202CFC" w:rsidP="004C365C">
            <w:pPr>
              <w:rPr>
                <w:rFonts w:cs="Arial"/>
                <w:sz w:val="20"/>
                <w:szCs w:val="20"/>
              </w:rPr>
            </w:pPr>
          </w:p>
          <w:p w:rsidR="00202CFC" w:rsidRDefault="00202CFC" w:rsidP="004C365C">
            <w:pPr>
              <w:rPr>
                <w:rFonts w:cs="Arial"/>
                <w:sz w:val="20"/>
                <w:szCs w:val="20"/>
              </w:rPr>
            </w:pPr>
          </w:p>
          <w:p w:rsidR="00202CFC" w:rsidRPr="00241AFC" w:rsidRDefault="00202CFC" w:rsidP="004C365C">
            <w:pPr>
              <w:rPr>
                <w:rFonts w:cs="Arial"/>
                <w:sz w:val="20"/>
                <w:szCs w:val="20"/>
              </w:rPr>
            </w:pPr>
          </w:p>
        </w:tc>
        <w:tc>
          <w:tcPr>
            <w:tcW w:w="2415" w:type="dxa"/>
          </w:tcPr>
          <w:p w:rsidR="00202CFC" w:rsidRDefault="00202CFC" w:rsidP="004C365C">
            <w:pPr>
              <w:rPr>
                <w:rFonts w:cs="Arial"/>
                <w:sz w:val="20"/>
                <w:szCs w:val="20"/>
              </w:rPr>
            </w:pPr>
            <w:r w:rsidRPr="00241AFC">
              <w:rPr>
                <w:rFonts w:cs="Arial"/>
                <w:sz w:val="20"/>
                <w:szCs w:val="20"/>
              </w:rPr>
              <w:t>6 months</w:t>
            </w:r>
          </w:p>
          <w:p w:rsidR="00202C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 xml:space="preserve">1 year </w:t>
            </w:r>
          </w:p>
          <w:p w:rsidR="00202CFC" w:rsidRPr="00241AFC" w:rsidRDefault="00202CFC" w:rsidP="004C365C">
            <w:pPr>
              <w:rPr>
                <w:rFonts w:cs="Arial"/>
                <w:sz w:val="20"/>
                <w:szCs w:val="20"/>
              </w:rPr>
            </w:pPr>
            <w:r w:rsidRPr="00241AFC">
              <w:rPr>
                <w:rFonts w:cs="Arial"/>
                <w:sz w:val="20"/>
                <w:szCs w:val="20"/>
              </w:rPr>
              <w:t>(ongoing)</w:t>
            </w:r>
          </w:p>
          <w:p w:rsidR="00202CFC" w:rsidRPr="00241AFC" w:rsidRDefault="00202CFC" w:rsidP="004C365C">
            <w:pPr>
              <w:rPr>
                <w:rFonts w:cs="Arial"/>
                <w:sz w:val="20"/>
                <w:szCs w:val="20"/>
              </w:rPr>
            </w:pPr>
          </w:p>
        </w:tc>
      </w:tr>
      <w:tr w:rsidR="00202CFC" w:rsidRPr="00241AFC" w:rsidTr="002B3FB1">
        <w:trPr>
          <w:trHeight w:val="862"/>
        </w:trPr>
        <w:tc>
          <w:tcPr>
            <w:tcW w:w="6964" w:type="dxa"/>
          </w:tcPr>
          <w:p w:rsidR="00202CFC" w:rsidRDefault="00202CFC" w:rsidP="004C365C">
            <w:pPr>
              <w:rPr>
                <w:rFonts w:cs="Arial"/>
                <w:bCs/>
                <w:sz w:val="20"/>
                <w:szCs w:val="20"/>
              </w:rPr>
            </w:pPr>
            <w:r w:rsidRPr="00241AFC">
              <w:rPr>
                <w:rFonts w:cs="Arial"/>
                <w:b/>
                <w:bCs/>
                <w:sz w:val="20"/>
                <w:szCs w:val="20"/>
              </w:rPr>
              <w:t>Recommendation 7:</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Provide better information to the public on options available to deliver containers to CDS facilities on the NT EPA website and social media platforms. This may include an interactive map of collection depots and collection points and information on community organisations that collect from home or the workplace.</w:t>
            </w:r>
          </w:p>
          <w:p w:rsidR="00202CFC" w:rsidRPr="00241AFC" w:rsidRDefault="00202CFC" w:rsidP="004C365C">
            <w:pPr>
              <w:rPr>
                <w:rFonts w:cs="Arial"/>
                <w:bCs/>
                <w:sz w:val="20"/>
                <w:szCs w:val="20"/>
              </w:rPr>
            </w:pPr>
          </w:p>
          <w:p w:rsidR="00202CFC" w:rsidRPr="00241AFC" w:rsidRDefault="00202CFC" w:rsidP="004C365C">
            <w:pPr>
              <w:rPr>
                <w:rFonts w:cs="Arial"/>
                <w:sz w:val="20"/>
                <w:szCs w:val="20"/>
              </w:rPr>
            </w:pPr>
            <w:r w:rsidRPr="00241AFC">
              <w:rPr>
                <w:rFonts w:cs="Arial"/>
                <w:b/>
                <w:bCs/>
                <w:sz w:val="20"/>
                <w:szCs w:val="20"/>
              </w:rPr>
              <w:t xml:space="preserve">Priority: </w:t>
            </w:r>
            <w:r w:rsidRPr="00241AFC">
              <w:rPr>
                <w:rFonts w:cs="Arial"/>
                <w:bCs/>
                <w:sz w:val="20"/>
                <w:szCs w:val="20"/>
              </w:rPr>
              <w:t>High</w:t>
            </w:r>
          </w:p>
          <w:p w:rsidR="00202CFC" w:rsidRPr="00241AFC" w:rsidRDefault="00202CFC" w:rsidP="004C365C">
            <w:pPr>
              <w:rPr>
                <w:rFonts w:cs="Arial"/>
                <w:sz w:val="20"/>
                <w:szCs w:val="20"/>
              </w:rPr>
            </w:pPr>
          </w:p>
        </w:tc>
        <w:tc>
          <w:tcPr>
            <w:tcW w:w="6252" w:type="dxa"/>
          </w:tcPr>
          <w:p w:rsidR="00202CFC" w:rsidRPr="00241AFC" w:rsidRDefault="00202CFC" w:rsidP="004C365C">
            <w:pPr>
              <w:rPr>
                <w:rFonts w:cs="Arial"/>
                <w:sz w:val="20"/>
                <w:szCs w:val="20"/>
              </w:rPr>
            </w:pPr>
            <w:r w:rsidRPr="00241AFC">
              <w:rPr>
                <w:rFonts w:cs="Arial"/>
                <w:sz w:val="20"/>
                <w:szCs w:val="20"/>
              </w:rPr>
              <w:t>Promote awareness of accessibility to CDS depots and collection points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Default="00202CFC" w:rsidP="004C365C">
            <w:pPr>
              <w:rPr>
                <w:rFonts w:cs="Arial"/>
                <w:sz w:val="20"/>
                <w:szCs w:val="20"/>
              </w:rPr>
            </w:pPr>
            <w:r w:rsidRPr="00241AFC">
              <w:rPr>
                <w:rFonts w:cs="Arial"/>
                <w:sz w:val="20"/>
                <w:szCs w:val="20"/>
              </w:rPr>
              <w:t xml:space="preserve">Promote awareness </w:t>
            </w:r>
            <w:r>
              <w:rPr>
                <w:rFonts w:cs="Arial"/>
                <w:sz w:val="20"/>
                <w:szCs w:val="20"/>
              </w:rPr>
              <w:t xml:space="preserve">of, and facilitate access to, information on collection facilities and their </w:t>
            </w:r>
            <w:r w:rsidRPr="00241AFC">
              <w:rPr>
                <w:rFonts w:cs="Arial"/>
                <w:sz w:val="20"/>
                <w:szCs w:val="20"/>
              </w:rPr>
              <w:t xml:space="preserve">locations </w:t>
            </w:r>
          </w:p>
          <w:p w:rsidR="00202CFC" w:rsidRDefault="00202CFC" w:rsidP="004C365C">
            <w:pPr>
              <w:rPr>
                <w:rFonts w:cs="Arial"/>
                <w:sz w:val="20"/>
                <w:szCs w:val="20"/>
              </w:rPr>
            </w:pP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sidRPr="00241AFC">
              <w:rPr>
                <w:rFonts w:cs="Arial"/>
                <w:sz w:val="20"/>
                <w:szCs w:val="20"/>
              </w:rPr>
              <w:t>6 months</w:t>
            </w: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C00FC9" w:rsidRDefault="00C00FC9"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1 year</w:t>
            </w:r>
          </w:p>
        </w:tc>
      </w:tr>
      <w:tr w:rsidR="00202CFC" w:rsidRPr="00241AFC" w:rsidTr="002B3FB1">
        <w:trPr>
          <w:trHeight w:val="3474"/>
        </w:trPr>
        <w:tc>
          <w:tcPr>
            <w:tcW w:w="6964" w:type="dxa"/>
          </w:tcPr>
          <w:p w:rsidR="00202CFC" w:rsidRDefault="00202CFC" w:rsidP="004C365C">
            <w:pPr>
              <w:rPr>
                <w:rFonts w:cs="Arial"/>
                <w:bCs/>
                <w:sz w:val="20"/>
                <w:szCs w:val="20"/>
              </w:rPr>
            </w:pPr>
            <w:r w:rsidRPr="00241AFC">
              <w:rPr>
                <w:rFonts w:cs="Arial"/>
                <w:b/>
                <w:bCs/>
                <w:sz w:val="20"/>
                <w:szCs w:val="20"/>
              </w:rPr>
              <w:t>Recommendation 8:</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Develop and implement clear guidelines for the establishment of collection depots that include considerations for the geographic location of collection depots and an analysis of potential demand.</w:t>
            </w:r>
          </w:p>
          <w:p w:rsidR="00202CFC" w:rsidRPr="00241AFC" w:rsidRDefault="00202CFC" w:rsidP="004C365C">
            <w:pPr>
              <w:rPr>
                <w:rFonts w:cs="Arial"/>
                <w:b/>
                <w:bCs/>
                <w:sz w:val="20"/>
                <w:szCs w:val="20"/>
              </w:rPr>
            </w:pPr>
          </w:p>
          <w:p w:rsidR="00202CFC" w:rsidRPr="00241AFC" w:rsidRDefault="00202CFC" w:rsidP="004C365C">
            <w:pPr>
              <w:rPr>
                <w:rFonts w:cs="Arial"/>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sz w:val="20"/>
                <w:szCs w:val="20"/>
              </w:rPr>
            </w:pPr>
          </w:p>
        </w:tc>
        <w:tc>
          <w:tcPr>
            <w:tcW w:w="6252" w:type="dxa"/>
          </w:tcPr>
          <w:p w:rsidR="00202CFC" w:rsidRDefault="00202CFC" w:rsidP="004C365C">
            <w:pPr>
              <w:rPr>
                <w:rFonts w:cs="Arial"/>
                <w:sz w:val="20"/>
                <w:szCs w:val="20"/>
              </w:rPr>
            </w:pPr>
            <w:r w:rsidRPr="00E32365">
              <w:rPr>
                <w:rFonts w:cs="Arial"/>
                <w:sz w:val="20"/>
                <w:szCs w:val="20"/>
              </w:rPr>
              <w:t>Develop new guidelines for collection depot approvals with FAQs for applicants</w:t>
            </w:r>
            <w:r>
              <w:rPr>
                <w:rFonts w:cs="Arial"/>
                <w:sz w:val="20"/>
                <w:szCs w:val="20"/>
              </w:rPr>
              <w:t>, ensuring the new guidelines consider legal and policy requirements in relation decisions on collection depot applications and the proposed location of depots</w:t>
            </w:r>
          </w:p>
          <w:p w:rsidR="00202CFC" w:rsidRPr="00241AFC" w:rsidRDefault="00202CFC" w:rsidP="004C365C">
            <w:pPr>
              <w:rPr>
                <w:rFonts w:cs="Arial"/>
                <w:sz w:val="20"/>
                <w:szCs w:val="20"/>
              </w:rPr>
            </w:pPr>
            <w:r>
              <w:rPr>
                <w:rFonts w:cs="Arial"/>
                <w:sz w:val="20"/>
                <w:szCs w:val="20"/>
              </w:rPr>
              <w:t xml:space="preserve">Review infrastructure needs and gaps in accessibility and facilitate access </w:t>
            </w:r>
            <w:r w:rsidR="003F306E">
              <w:rPr>
                <w:rFonts w:cs="Arial"/>
                <w:sz w:val="20"/>
                <w:szCs w:val="20"/>
              </w:rPr>
              <w:t xml:space="preserve">to </w:t>
            </w:r>
            <w:r>
              <w:rPr>
                <w:rFonts w:cs="Arial"/>
                <w:sz w:val="20"/>
                <w:szCs w:val="20"/>
              </w:rPr>
              <w:t xml:space="preserve">all collection depots </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tc>
        <w:tc>
          <w:tcPr>
            <w:tcW w:w="2415" w:type="dxa"/>
          </w:tcPr>
          <w:p w:rsidR="00202CFC" w:rsidRPr="00241AFC" w:rsidRDefault="00202CFC" w:rsidP="00C00FC9">
            <w:pPr>
              <w:spacing w:after="0"/>
              <w:rPr>
                <w:rFonts w:cs="Arial"/>
                <w:sz w:val="20"/>
                <w:szCs w:val="20"/>
              </w:rPr>
            </w:pPr>
            <w:r w:rsidRPr="00241AFC">
              <w:rPr>
                <w:rFonts w:cs="Arial"/>
                <w:sz w:val="20"/>
                <w:szCs w:val="20"/>
              </w:rPr>
              <w:t>1 year</w:t>
            </w: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r w:rsidRPr="00241AFC">
              <w:rPr>
                <w:rFonts w:cs="Arial"/>
                <w:sz w:val="20"/>
                <w:szCs w:val="20"/>
              </w:rPr>
              <w:t>2 years</w:t>
            </w:r>
          </w:p>
        </w:tc>
      </w:tr>
      <w:tr w:rsidR="00202CFC" w:rsidRPr="00241AFC" w:rsidTr="002B3FB1">
        <w:trPr>
          <w:trHeight w:val="2599"/>
        </w:trPr>
        <w:tc>
          <w:tcPr>
            <w:tcW w:w="6964" w:type="dxa"/>
          </w:tcPr>
          <w:p w:rsidR="00202CFC" w:rsidRDefault="00202CFC" w:rsidP="004C365C">
            <w:pPr>
              <w:rPr>
                <w:rFonts w:cs="Arial"/>
                <w:bCs/>
                <w:sz w:val="20"/>
                <w:szCs w:val="20"/>
              </w:rPr>
            </w:pPr>
            <w:r w:rsidRPr="00241AFC">
              <w:rPr>
                <w:rFonts w:cs="Arial"/>
                <w:b/>
                <w:bCs/>
                <w:sz w:val="20"/>
                <w:szCs w:val="20"/>
              </w:rPr>
              <w:t>Recommendation 9:</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Promote the establishment of collection points, in particular in remote communities, and investigate the establishment of a database of collection points.</w:t>
            </w:r>
          </w:p>
          <w:p w:rsidR="00202CFC" w:rsidRDefault="00202CFC" w:rsidP="004C365C">
            <w:pPr>
              <w:rPr>
                <w:rFonts w:cs="Arial"/>
                <w:sz w:val="20"/>
                <w:szCs w:val="20"/>
              </w:rPr>
            </w:pPr>
          </w:p>
          <w:p w:rsidR="00202CFC" w:rsidRPr="00241A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sz w:val="20"/>
                <w:szCs w:val="20"/>
              </w:rPr>
            </w:pPr>
          </w:p>
        </w:tc>
        <w:tc>
          <w:tcPr>
            <w:tcW w:w="6252" w:type="dxa"/>
          </w:tcPr>
          <w:p w:rsidR="00202CFC" w:rsidRPr="00CF5471" w:rsidRDefault="00202CFC" w:rsidP="004C365C">
            <w:pPr>
              <w:rPr>
                <w:rFonts w:cs="Arial"/>
                <w:sz w:val="20"/>
                <w:szCs w:val="20"/>
              </w:rPr>
            </w:pPr>
            <w:r w:rsidRPr="00CF5471">
              <w:rPr>
                <w:rFonts w:cs="Arial"/>
                <w:sz w:val="20"/>
                <w:szCs w:val="20"/>
              </w:rPr>
              <w:t>Promote awareness of, and facilitate access to</w:t>
            </w:r>
            <w:r>
              <w:rPr>
                <w:rFonts w:cs="Arial"/>
                <w:sz w:val="20"/>
                <w:szCs w:val="20"/>
              </w:rPr>
              <w:t>,</w:t>
            </w:r>
            <w:r w:rsidRPr="00CF5471">
              <w:rPr>
                <w:rFonts w:cs="Arial"/>
                <w:sz w:val="20"/>
                <w:szCs w:val="20"/>
              </w:rPr>
              <w:t xml:space="preserve"> information on collection facilities and their locations </w:t>
            </w: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Pr>
                <w:rFonts w:cs="Arial"/>
                <w:sz w:val="20"/>
                <w:szCs w:val="20"/>
              </w:rPr>
              <w:t>1 year</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tc>
      </w:tr>
      <w:tr w:rsidR="00202CFC" w:rsidRPr="00241AFC" w:rsidTr="002B3FB1">
        <w:trPr>
          <w:trHeight w:val="5981"/>
        </w:trPr>
        <w:tc>
          <w:tcPr>
            <w:tcW w:w="6964" w:type="dxa"/>
          </w:tcPr>
          <w:p w:rsidR="00202CFC" w:rsidRDefault="00202CFC" w:rsidP="004C365C">
            <w:pPr>
              <w:rPr>
                <w:rFonts w:cs="Arial"/>
                <w:bCs/>
                <w:sz w:val="20"/>
                <w:szCs w:val="20"/>
              </w:rPr>
            </w:pPr>
            <w:r w:rsidRPr="00241AFC">
              <w:rPr>
                <w:rFonts w:cs="Arial"/>
                <w:b/>
                <w:bCs/>
                <w:sz w:val="20"/>
                <w:szCs w:val="20"/>
              </w:rPr>
              <w:lastRenderedPageBreak/>
              <w:t>Recommendation 10:</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Identify, engage and support “key-persons” (individuals or organisations) in remote communities to promote establishment of collection points and the on-going participation in the CDS in remote communities. Facilitate access to training and support to the individual or organisation to engage with the community to expand the awareness and participation in the CDS.</w:t>
            </w:r>
            <w:r w:rsidRPr="00241AFC">
              <w:rPr>
                <w:rFonts w:cs="Arial"/>
                <w:sz w:val="20"/>
                <w:szCs w:val="20"/>
              </w:rPr>
              <w:t xml:space="preserve"> </w:t>
            </w:r>
            <w:r w:rsidRPr="00241AFC">
              <w:rPr>
                <w:rFonts w:cs="Arial"/>
                <w:bCs/>
                <w:sz w:val="20"/>
                <w:szCs w:val="20"/>
              </w:rPr>
              <w:t>Work with these key persons to determine equipment and infrastructure that will support the efficient and effective operation of collection points in remote communities (for example, equipment such as balers and compactors which significantly improve transport efficiencies).</w:t>
            </w:r>
          </w:p>
          <w:p w:rsidR="00202CFC" w:rsidRPr="00241AFC" w:rsidRDefault="00202CFC" w:rsidP="004C365C">
            <w:pPr>
              <w:rPr>
                <w:rFonts w:cs="Arial"/>
                <w:bCs/>
                <w:sz w:val="20"/>
                <w:szCs w:val="20"/>
              </w:rPr>
            </w:pPr>
          </w:p>
          <w:p w:rsidR="00202CFC" w:rsidRPr="00241A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b/>
                <w:bCs/>
                <w:sz w:val="20"/>
                <w:szCs w:val="20"/>
              </w:rPr>
            </w:pPr>
          </w:p>
        </w:tc>
        <w:tc>
          <w:tcPr>
            <w:tcW w:w="6252" w:type="dxa"/>
          </w:tcPr>
          <w:p w:rsidR="00202CFC" w:rsidRPr="00241AFC" w:rsidRDefault="00202CFC" w:rsidP="004C365C">
            <w:pPr>
              <w:rPr>
                <w:rFonts w:cs="Arial"/>
                <w:sz w:val="20"/>
                <w:szCs w:val="20"/>
              </w:rPr>
            </w:pPr>
            <w:r>
              <w:rPr>
                <w:rFonts w:cs="Arial"/>
                <w:sz w:val="20"/>
                <w:szCs w:val="20"/>
              </w:rPr>
              <w:t>E</w:t>
            </w:r>
            <w:r w:rsidRPr="00241AFC">
              <w:rPr>
                <w:rFonts w:cs="Arial"/>
                <w:sz w:val="20"/>
                <w:szCs w:val="20"/>
              </w:rPr>
              <w:t>ngagement with key stakeholders</w:t>
            </w:r>
            <w:r w:rsidR="003F306E">
              <w:rPr>
                <w:rFonts w:cs="Arial"/>
                <w:sz w:val="20"/>
                <w:szCs w:val="20"/>
              </w:rPr>
              <w:t>,</w:t>
            </w:r>
            <w:r>
              <w:rPr>
                <w:rFonts w:cs="Arial"/>
                <w:sz w:val="20"/>
                <w:szCs w:val="20"/>
              </w:rPr>
              <w:t xml:space="preserve"> such as</w:t>
            </w:r>
            <w:r w:rsidRPr="00241AFC">
              <w:rPr>
                <w:rFonts w:cs="Arial"/>
                <w:sz w:val="20"/>
                <w:szCs w:val="20"/>
              </w:rPr>
              <w:t xml:space="preserve"> the remote waste working groups, CDS coordinators</w:t>
            </w:r>
            <w:r>
              <w:rPr>
                <w:rFonts w:cs="Arial"/>
                <w:sz w:val="20"/>
                <w:szCs w:val="20"/>
              </w:rPr>
              <w:t xml:space="preserve"> and CDS depot operators to promote access to CDS in regional and remote areas</w:t>
            </w:r>
            <w:r w:rsidRPr="00241AFC">
              <w:rPr>
                <w:rFonts w:cs="Arial"/>
                <w:sz w:val="20"/>
                <w:szCs w:val="20"/>
              </w:rPr>
              <w:t xml:space="preserve">  </w:t>
            </w:r>
          </w:p>
          <w:p w:rsidR="00202CFC" w:rsidRPr="00241A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Identify and facilitate strategic partnerships</w:t>
            </w:r>
            <w:r>
              <w:rPr>
                <w:rFonts w:cs="Arial"/>
                <w:sz w:val="20"/>
                <w:szCs w:val="20"/>
              </w:rPr>
              <w:t xml:space="preserve"> to support sustainable collection points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r>
              <w:rPr>
                <w:rFonts w:cs="Arial"/>
                <w:sz w:val="20"/>
                <w:szCs w:val="20"/>
              </w:rPr>
              <w:t>Work with key stakeholders such as local government to support the development of existing and new collection points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r w:rsidRPr="007158B3">
              <w:rPr>
                <w:rFonts w:cs="Arial"/>
                <w:sz w:val="20"/>
                <w:szCs w:val="20"/>
              </w:rPr>
              <w:t>Promote awareness of, and facilitate access to information on collection facilities and their locations</w:t>
            </w:r>
            <w:r w:rsidRPr="007158B3" w:rsidDel="007158B3">
              <w:rPr>
                <w:rFonts w:cs="Arial"/>
                <w:sz w:val="20"/>
                <w:szCs w:val="20"/>
              </w:rPr>
              <w:t xml:space="preserve"> </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tc>
        <w:tc>
          <w:tcPr>
            <w:tcW w:w="2415" w:type="dxa"/>
          </w:tcPr>
          <w:p w:rsidR="00202CFC" w:rsidRPr="00241AFC" w:rsidRDefault="00202CFC" w:rsidP="00C00FC9">
            <w:pPr>
              <w:spacing w:after="0"/>
              <w:rPr>
                <w:rFonts w:cs="Arial"/>
                <w:sz w:val="20"/>
                <w:szCs w:val="20"/>
              </w:rPr>
            </w:pPr>
            <w:r w:rsidRPr="00241AFC">
              <w:rPr>
                <w:rFonts w:cs="Arial"/>
                <w:sz w:val="20"/>
                <w:szCs w:val="20"/>
              </w:rPr>
              <w:t>6 months</w:t>
            </w:r>
            <w:r>
              <w:rPr>
                <w:rFonts w:cs="Arial"/>
                <w:sz w:val="20"/>
                <w:szCs w:val="20"/>
              </w:rPr>
              <w:t xml:space="preserve"> (ongoing)</w:t>
            </w: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Default="00202CFC" w:rsidP="00C00FC9">
            <w:pPr>
              <w:spacing w:after="0"/>
              <w:rPr>
                <w:rFonts w:cs="Arial"/>
                <w:sz w:val="20"/>
                <w:szCs w:val="20"/>
              </w:rPr>
            </w:pPr>
          </w:p>
          <w:p w:rsidR="00761515" w:rsidRDefault="00761515" w:rsidP="00C00FC9">
            <w:pPr>
              <w:spacing w:after="0"/>
              <w:rPr>
                <w:rFonts w:cs="Arial"/>
                <w:sz w:val="20"/>
                <w:szCs w:val="20"/>
              </w:rPr>
            </w:pPr>
          </w:p>
          <w:p w:rsidR="00761515" w:rsidRDefault="00761515" w:rsidP="00C00FC9">
            <w:pPr>
              <w:spacing w:after="0"/>
              <w:rPr>
                <w:rFonts w:cs="Arial"/>
                <w:sz w:val="20"/>
                <w:szCs w:val="20"/>
              </w:rPr>
            </w:pPr>
          </w:p>
          <w:p w:rsidR="00202CFC" w:rsidRPr="00241AFC" w:rsidRDefault="00202CFC" w:rsidP="00C00FC9">
            <w:pPr>
              <w:spacing w:after="0"/>
              <w:rPr>
                <w:rFonts w:cs="Arial"/>
                <w:sz w:val="20"/>
                <w:szCs w:val="20"/>
              </w:rPr>
            </w:pPr>
            <w:r w:rsidRPr="00241AFC">
              <w:rPr>
                <w:rFonts w:cs="Arial"/>
                <w:sz w:val="20"/>
                <w:szCs w:val="20"/>
              </w:rPr>
              <w:t>Ongoing</w:t>
            </w: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761515" w:rsidRDefault="00761515" w:rsidP="00C00FC9">
            <w:pPr>
              <w:spacing w:after="0"/>
              <w:rPr>
                <w:rFonts w:cs="Arial"/>
                <w:sz w:val="20"/>
                <w:szCs w:val="20"/>
              </w:rPr>
            </w:pPr>
          </w:p>
          <w:p w:rsidR="00202CFC" w:rsidRPr="00241AFC" w:rsidRDefault="00202CFC" w:rsidP="00C00FC9">
            <w:pPr>
              <w:spacing w:after="0"/>
              <w:rPr>
                <w:rFonts w:cs="Arial"/>
                <w:sz w:val="20"/>
                <w:szCs w:val="20"/>
              </w:rPr>
            </w:pPr>
            <w:r w:rsidRPr="00241AFC">
              <w:rPr>
                <w:rFonts w:cs="Arial"/>
                <w:sz w:val="20"/>
                <w:szCs w:val="20"/>
              </w:rPr>
              <w:t>1 year (ongoing)</w:t>
            </w: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202CFC" w:rsidRPr="00241AFC" w:rsidRDefault="00202CFC" w:rsidP="00C00FC9">
            <w:pPr>
              <w:spacing w:after="0"/>
              <w:rPr>
                <w:rFonts w:cs="Arial"/>
                <w:sz w:val="20"/>
                <w:szCs w:val="20"/>
              </w:rPr>
            </w:pPr>
          </w:p>
          <w:p w:rsidR="00761515" w:rsidRPr="00241AFC" w:rsidRDefault="00761515" w:rsidP="00C00FC9">
            <w:pPr>
              <w:spacing w:after="0"/>
              <w:rPr>
                <w:rFonts w:cs="Arial"/>
                <w:sz w:val="20"/>
                <w:szCs w:val="20"/>
              </w:rPr>
            </w:pPr>
          </w:p>
          <w:p w:rsidR="00202CFC" w:rsidRPr="00241AFC" w:rsidRDefault="00202CFC" w:rsidP="00C00FC9">
            <w:pPr>
              <w:spacing w:after="0"/>
              <w:rPr>
                <w:rFonts w:cs="Arial"/>
                <w:sz w:val="20"/>
                <w:szCs w:val="20"/>
              </w:rPr>
            </w:pPr>
            <w:r>
              <w:rPr>
                <w:rFonts w:cs="Arial"/>
                <w:sz w:val="20"/>
                <w:szCs w:val="20"/>
              </w:rPr>
              <w:t>1 year</w:t>
            </w:r>
          </w:p>
        </w:tc>
      </w:tr>
      <w:tr w:rsidR="00202CFC" w:rsidRPr="00241AFC" w:rsidTr="002B3FB1">
        <w:trPr>
          <w:trHeight w:val="2599"/>
        </w:trPr>
        <w:tc>
          <w:tcPr>
            <w:tcW w:w="6964" w:type="dxa"/>
          </w:tcPr>
          <w:p w:rsidR="00202CFC" w:rsidRDefault="00202CFC" w:rsidP="004C365C">
            <w:pPr>
              <w:rPr>
                <w:rFonts w:cs="Arial"/>
                <w:bCs/>
                <w:sz w:val="20"/>
                <w:szCs w:val="20"/>
              </w:rPr>
            </w:pPr>
            <w:r w:rsidRPr="00241AFC">
              <w:rPr>
                <w:rFonts w:cs="Arial"/>
                <w:b/>
                <w:bCs/>
                <w:sz w:val="20"/>
                <w:szCs w:val="20"/>
              </w:rPr>
              <w:t>Recommendation 11:</w:t>
            </w:r>
            <w:r w:rsidRPr="00241AFC">
              <w:rPr>
                <w:rFonts w:cs="Arial"/>
                <w:bCs/>
                <w:sz w:val="20"/>
                <w:szCs w:val="20"/>
              </w:rPr>
              <w:t xml:space="preserve"> </w:t>
            </w:r>
          </w:p>
          <w:p w:rsidR="00202CFC" w:rsidRDefault="00202CFC" w:rsidP="004C365C">
            <w:pPr>
              <w:rPr>
                <w:rFonts w:cs="Arial"/>
                <w:bCs/>
                <w:sz w:val="20"/>
                <w:szCs w:val="20"/>
              </w:rPr>
            </w:pPr>
            <w:r w:rsidRPr="00241AFC">
              <w:rPr>
                <w:rFonts w:cs="Arial"/>
                <w:bCs/>
                <w:sz w:val="20"/>
                <w:szCs w:val="20"/>
              </w:rPr>
              <w:t>Facilitate better access to CDS infrastructure grants and provide ongoing support to grant recipients to facilitate ongoing sustainable operation of collection points operated by grant recipients.</w:t>
            </w:r>
          </w:p>
          <w:p w:rsidR="00202CFC" w:rsidRDefault="00202CFC" w:rsidP="004C365C">
            <w:pPr>
              <w:rPr>
                <w:rFonts w:cs="Arial"/>
                <w:bCs/>
                <w:sz w:val="20"/>
                <w:szCs w:val="20"/>
              </w:rPr>
            </w:pPr>
          </w:p>
          <w:p w:rsidR="00202C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Medium</w:t>
            </w:r>
          </w:p>
          <w:p w:rsidR="0074115B" w:rsidRPr="00241AFC" w:rsidRDefault="0074115B" w:rsidP="004C365C">
            <w:pPr>
              <w:rPr>
                <w:rFonts w:cs="Arial"/>
                <w:bCs/>
                <w:sz w:val="20"/>
                <w:szCs w:val="20"/>
              </w:rPr>
            </w:pPr>
          </w:p>
          <w:p w:rsidR="00202CFC" w:rsidRPr="00241AFC" w:rsidRDefault="00202CFC" w:rsidP="004C365C">
            <w:pPr>
              <w:rPr>
                <w:rFonts w:cs="Arial"/>
                <w:b/>
                <w:bCs/>
                <w:sz w:val="20"/>
                <w:szCs w:val="20"/>
              </w:rPr>
            </w:pPr>
          </w:p>
        </w:tc>
        <w:tc>
          <w:tcPr>
            <w:tcW w:w="6252" w:type="dxa"/>
          </w:tcPr>
          <w:p w:rsidR="00202CFC" w:rsidRPr="00241AFC" w:rsidRDefault="00202CFC" w:rsidP="004C365C">
            <w:pPr>
              <w:rPr>
                <w:rFonts w:cs="Arial"/>
                <w:sz w:val="20"/>
                <w:szCs w:val="20"/>
              </w:rPr>
            </w:pPr>
            <w:r w:rsidRPr="00241AFC">
              <w:rPr>
                <w:rFonts w:cs="Arial"/>
                <w:sz w:val="20"/>
                <w:szCs w:val="20"/>
              </w:rPr>
              <w:t>Promoting and providing support with</w:t>
            </w:r>
            <w:r>
              <w:rPr>
                <w:rFonts w:cs="Arial"/>
                <w:sz w:val="20"/>
                <w:szCs w:val="20"/>
              </w:rPr>
              <w:t xml:space="preserve"> environment grants to support development of collection points in regional and remote areas </w:t>
            </w: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sidRPr="00241AFC">
              <w:rPr>
                <w:rFonts w:cs="Arial"/>
                <w:sz w:val="20"/>
                <w:szCs w:val="20"/>
              </w:rPr>
              <w:t>6 months</w:t>
            </w:r>
          </w:p>
          <w:p w:rsidR="00202CFC" w:rsidRPr="00241AFC" w:rsidRDefault="00202CFC" w:rsidP="004C365C">
            <w:pPr>
              <w:rPr>
                <w:rFonts w:cs="Arial"/>
                <w:sz w:val="20"/>
                <w:szCs w:val="20"/>
              </w:rPr>
            </w:pPr>
          </w:p>
        </w:tc>
      </w:tr>
      <w:tr w:rsidR="00202CFC" w:rsidRPr="00241AFC" w:rsidTr="002B3FB1">
        <w:trPr>
          <w:trHeight w:val="888"/>
        </w:trPr>
        <w:tc>
          <w:tcPr>
            <w:tcW w:w="6964" w:type="dxa"/>
          </w:tcPr>
          <w:p w:rsidR="00202CFC" w:rsidRDefault="00202CFC" w:rsidP="004C365C">
            <w:pPr>
              <w:rPr>
                <w:rFonts w:cs="Arial"/>
                <w:bCs/>
                <w:sz w:val="20"/>
                <w:szCs w:val="20"/>
              </w:rPr>
            </w:pPr>
            <w:r w:rsidRPr="00241AFC">
              <w:rPr>
                <w:rFonts w:cs="Arial"/>
                <w:b/>
                <w:bCs/>
                <w:sz w:val="20"/>
                <w:szCs w:val="20"/>
              </w:rPr>
              <w:t>Recommendation 12:</w:t>
            </w:r>
            <w:r w:rsidRPr="00241AFC">
              <w:rPr>
                <w:rFonts w:cs="Arial"/>
                <w:bCs/>
                <w:sz w:val="20"/>
                <w:szCs w:val="20"/>
              </w:rPr>
              <w:t xml:space="preserve"> </w:t>
            </w:r>
          </w:p>
          <w:p w:rsidR="00202CFC" w:rsidRDefault="00202CFC" w:rsidP="004C365C">
            <w:pPr>
              <w:rPr>
                <w:rFonts w:cs="Arial"/>
                <w:bCs/>
                <w:sz w:val="20"/>
                <w:szCs w:val="20"/>
              </w:rPr>
            </w:pPr>
            <w:r w:rsidRPr="00241AFC">
              <w:rPr>
                <w:rFonts w:cs="Arial"/>
                <w:bCs/>
                <w:sz w:val="20"/>
                <w:szCs w:val="20"/>
              </w:rPr>
              <w:t xml:space="preserve">Work with key stakeholders and facilitate strategic partnerships to extend access to the CDS in remote communities (for example, through the use of back-loading provided by logistics companies). </w:t>
            </w:r>
          </w:p>
          <w:p w:rsidR="00202CFC" w:rsidRDefault="00202CFC" w:rsidP="004C365C">
            <w:pPr>
              <w:rPr>
                <w:rFonts w:cs="Arial"/>
                <w:bCs/>
                <w:sz w:val="20"/>
                <w:szCs w:val="20"/>
              </w:rPr>
            </w:pPr>
          </w:p>
          <w:p w:rsidR="00202CFC" w:rsidRPr="00241A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b/>
                <w:bCs/>
                <w:sz w:val="20"/>
                <w:szCs w:val="20"/>
              </w:rPr>
            </w:pPr>
          </w:p>
        </w:tc>
        <w:tc>
          <w:tcPr>
            <w:tcW w:w="6252" w:type="dxa"/>
          </w:tcPr>
          <w:p w:rsidR="00202CFC" w:rsidRPr="00241AFC" w:rsidRDefault="00202CFC" w:rsidP="004C365C">
            <w:pPr>
              <w:rPr>
                <w:rFonts w:cs="Arial"/>
                <w:sz w:val="20"/>
                <w:szCs w:val="20"/>
              </w:rPr>
            </w:pPr>
            <w:r w:rsidRPr="00214EB4">
              <w:rPr>
                <w:rFonts w:cs="Arial"/>
                <w:sz w:val="20"/>
                <w:szCs w:val="20"/>
              </w:rPr>
              <w:t>Engagement with key stakeholders such as the remote waste working groups, CDS coordinators and CDS depot operators to promote access to CDS in regional and remote areas</w:t>
            </w:r>
            <w:r w:rsidRPr="00241AFC">
              <w:rPr>
                <w:rFonts w:cs="Arial"/>
                <w:sz w:val="20"/>
                <w:szCs w:val="20"/>
              </w:rPr>
              <w:t xml:space="preserve"> </w:t>
            </w: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Pr>
                <w:rFonts w:cs="Arial"/>
                <w:sz w:val="20"/>
                <w:szCs w:val="20"/>
              </w:rPr>
              <w:t>6 months (ongoing)</w:t>
            </w:r>
          </w:p>
        </w:tc>
      </w:tr>
      <w:tr w:rsidR="00202CFC" w:rsidRPr="00241AFC" w:rsidTr="002B3FB1">
        <w:trPr>
          <w:trHeight w:val="2360"/>
        </w:trPr>
        <w:tc>
          <w:tcPr>
            <w:tcW w:w="6964" w:type="dxa"/>
          </w:tcPr>
          <w:p w:rsidR="00202CFC" w:rsidRPr="00241AFC" w:rsidRDefault="00202CFC" w:rsidP="004C365C">
            <w:pPr>
              <w:rPr>
                <w:rFonts w:cs="Arial"/>
                <w:bCs/>
                <w:sz w:val="20"/>
                <w:szCs w:val="20"/>
              </w:rPr>
            </w:pPr>
            <w:r w:rsidRPr="00241AFC">
              <w:rPr>
                <w:rFonts w:cs="Arial"/>
                <w:b/>
                <w:bCs/>
                <w:sz w:val="20"/>
                <w:szCs w:val="20"/>
              </w:rPr>
              <w:t>Recommendation 13:</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 xml:space="preserve">Set resource recovery/return rate targets for CDS Coordinators as allowed for under section 49 of the Act. </w:t>
            </w:r>
          </w:p>
          <w:p w:rsidR="00202CFC" w:rsidRPr="00241AFC" w:rsidRDefault="00202CFC" w:rsidP="004C365C">
            <w:pPr>
              <w:rPr>
                <w:rFonts w:cs="Arial"/>
                <w:bCs/>
                <w:sz w:val="20"/>
                <w:szCs w:val="20"/>
              </w:rPr>
            </w:pPr>
          </w:p>
          <w:p w:rsidR="00202CFC" w:rsidRPr="00241AFC" w:rsidRDefault="00202CFC" w:rsidP="004C365C">
            <w:pPr>
              <w:rPr>
                <w:rFonts w:cs="Arial"/>
                <w:b/>
                <w:bCs/>
                <w:sz w:val="20"/>
                <w:szCs w:val="20"/>
              </w:rPr>
            </w:pPr>
            <w:r w:rsidRPr="00241AFC">
              <w:rPr>
                <w:rFonts w:cs="Arial"/>
                <w:b/>
                <w:bCs/>
                <w:sz w:val="20"/>
                <w:szCs w:val="20"/>
              </w:rPr>
              <w:t xml:space="preserve">Priority: </w:t>
            </w:r>
            <w:r w:rsidRPr="00241AFC">
              <w:rPr>
                <w:rFonts w:cs="Arial"/>
                <w:bCs/>
                <w:sz w:val="20"/>
                <w:szCs w:val="20"/>
              </w:rPr>
              <w:t>High</w:t>
            </w:r>
          </w:p>
          <w:p w:rsidR="00202CFC" w:rsidRPr="00241AFC" w:rsidRDefault="00202CFC" w:rsidP="004C365C">
            <w:pPr>
              <w:rPr>
                <w:rFonts w:cs="Arial"/>
                <w:b/>
                <w:bCs/>
                <w:sz w:val="20"/>
                <w:szCs w:val="20"/>
              </w:rPr>
            </w:pPr>
          </w:p>
        </w:tc>
        <w:tc>
          <w:tcPr>
            <w:tcW w:w="6252" w:type="dxa"/>
          </w:tcPr>
          <w:p w:rsidR="00202CFC" w:rsidRPr="00241AFC" w:rsidRDefault="00202CFC" w:rsidP="004C365C">
            <w:pPr>
              <w:rPr>
                <w:rFonts w:cs="Arial"/>
                <w:sz w:val="20"/>
                <w:szCs w:val="20"/>
              </w:rPr>
            </w:pPr>
            <w:r>
              <w:rPr>
                <w:rFonts w:cs="Arial"/>
                <w:sz w:val="20"/>
                <w:szCs w:val="20"/>
              </w:rPr>
              <w:t>Develop proposed  targets in consultation with CDS coordinators and present p</w:t>
            </w:r>
            <w:r w:rsidRPr="00241AFC">
              <w:rPr>
                <w:rFonts w:cs="Arial"/>
                <w:sz w:val="20"/>
                <w:szCs w:val="20"/>
              </w:rPr>
              <w:t xml:space="preserve">roposed targets </w:t>
            </w:r>
            <w:r>
              <w:rPr>
                <w:rFonts w:cs="Arial"/>
                <w:sz w:val="20"/>
                <w:szCs w:val="20"/>
              </w:rPr>
              <w:t>to</w:t>
            </w:r>
            <w:r w:rsidRPr="00241AFC">
              <w:rPr>
                <w:rFonts w:cs="Arial"/>
                <w:sz w:val="20"/>
                <w:szCs w:val="20"/>
              </w:rPr>
              <w:t xml:space="preserve"> the </w:t>
            </w:r>
            <w:r>
              <w:rPr>
                <w:rFonts w:cs="Arial"/>
                <w:sz w:val="20"/>
                <w:szCs w:val="20"/>
              </w:rPr>
              <w:t xml:space="preserve">Environment </w:t>
            </w:r>
            <w:r w:rsidRPr="00241AFC">
              <w:rPr>
                <w:rFonts w:cs="Arial"/>
                <w:sz w:val="20"/>
                <w:szCs w:val="20"/>
              </w:rPr>
              <w:t>Minister</w:t>
            </w:r>
            <w:r>
              <w:rPr>
                <w:rFonts w:cs="Arial"/>
                <w:sz w:val="20"/>
                <w:szCs w:val="20"/>
              </w:rPr>
              <w:t xml:space="preserve"> for consideration</w:t>
            </w:r>
          </w:p>
        </w:tc>
        <w:tc>
          <w:tcPr>
            <w:tcW w:w="2415" w:type="dxa"/>
          </w:tcPr>
          <w:p w:rsidR="00202CFC" w:rsidRPr="00241AFC" w:rsidRDefault="00202CFC" w:rsidP="004C365C">
            <w:pPr>
              <w:rPr>
                <w:rFonts w:cs="Arial"/>
                <w:sz w:val="20"/>
                <w:szCs w:val="20"/>
              </w:rPr>
            </w:pPr>
            <w:r w:rsidRPr="00241AFC">
              <w:rPr>
                <w:rFonts w:cs="Arial"/>
                <w:sz w:val="20"/>
                <w:szCs w:val="20"/>
              </w:rPr>
              <w:t>1 year</w:t>
            </w:r>
          </w:p>
        </w:tc>
      </w:tr>
      <w:tr w:rsidR="00202CFC" w:rsidRPr="00241AFC" w:rsidTr="002B3FB1">
        <w:trPr>
          <w:trHeight w:val="3886"/>
        </w:trPr>
        <w:tc>
          <w:tcPr>
            <w:tcW w:w="6964" w:type="dxa"/>
          </w:tcPr>
          <w:p w:rsidR="00202CFC" w:rsidRDefault="00202CFC" w:rsidP="004C365C">
            <w:pPr>
              <w:rPr>
                <w:rFonts w:cs="Arial"/>
                <w:b/>
                <w:bCs/>
                <w:sz w:val="20"/>
                <w:szCs w:val="20"/>
              </w:rPr>
            </w:pPr>
            <w:r w:rsidRPr="00241AFC">
              <w:rPr>
                <w:rFonts w:cs="Arial"/>
                <w:b/>
                <w:bCs/>
                <w:sz w:val="20"/>
                <w:szCs w:val="20"/>
              </w:rPr>
              <w:t xml:space="preserve">Recommendation 14: </w:t>
            </w:r>
          </w:p>
          <w:p w:rsidR="00202CFC" w:rsidRPr="00241AFC" w:rsidRDefault="00202CFC" w:rsidP="004C365C">
            <w:pPr>
              <w:rPr>
                <w:rFonts w:cs="Arial"/>
                <w:bCs/>
                <w:sz w:val="20"/>
                <w:szCs w:val="20"/>
              </w:rPr>
            </w:pPr>
            <w:r w:rsidRPr="00241AFC">
              <w:rPr>
                <w:rFonts w:cs="Arial"/>
                <w:bCs/>
                <w:sz w:val="20"/>
                <w:szCs w:val="20"/>
              </w:rPr>
              <w:t>Establish a requirement for the improved reporting of the reuse and recycling of containers. Ensure the monitoring and reporting of the reuse and recycling of containers is sufficiently robust to ensure its accuracy and reliability.</w:t>
            </w:r>
            <w:r w:rsidRPr="00241AFC">
              <w:rPr>
                <w:rFonts w:cs="Arial"/>
                <w:sz w:val="20"/>
                <w:szCs w:val="20"/>
              </w:rPr>
              <w:t xml:space="preserve"> </w:t>
            </w:r>
            <w:r w:rsidRPr="00241AFC">
              <w:rPr>
                <w:rFonts w:cs="Arial"/>
                <w:bCs/>
                <w:sz w:val="20"/>
                <w:szCs w:val="20"/>
              </w:rPr>
              <w:t>Consider undertaking an audit of the recycling and reuse supply chain to verify accuracy of data and provide clarity for stakeholders on where these materials end up.</w:t>
            </w:r>
          </w:p>
          <w:p w:rsidR="00202CFC" w:rsidRPr="00241AFC" w:rsidRDefault="00202CFC" w:rsidP="004C365C">
            <w:pPr>
              <w:rPr>
                <w:rFonts w:cs="Arial"/>
                <w:b/>
                <w:bCs/>
                <w:sz w:val="20"/>
                <w:szCs w:val="20"/>
              </w:rPr>
            </w:pPr>
          </w:p>
          <w:p w:rsidR="00202CFC" w:rsidRPr="00241AFC" w:rsidRDefault="00202CFC" w:rsidP="004C365C">
            <w:pPr>
              <w:rPr>
                <w:rFonts w:cs="Arial"/>
                <w:b/>
                <w:bCs/>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b/>
                <w:bCs/>
                <w:sz w:val="20"/>
                <w:szCs w:val="20"/>
              </w:rPr>
            </w:pPr>
          </w:p>
        </w:tc>
        <w:tc>
          <w:tcPr>
            <w:tcW w:w="6252" w:type="dxa"/>
          </w:tcPr>
          <w:p w:rsidR="00202CFC" w:rsidRDefault="00202CFC" w:rsidP="00053A3F">
            <w:pPr>
              <w:spacing w:after="0"/>
              <w:rPr>
                <w:rFonts w:cs="Arial"/>
                <w:sz w:val="20"/>
                <w:szCs w:val="20"/>
              </w:rPr>
            </w:pPr>
            <w:r>
              <w:rPr>
                <w:rFonts w:cs="Arial"/>
                <w:sz w:val="20"/>
                <w:szCs w:val="20"/>
              </w:rPr>
              <w:t xml:space="preserve">Undertake </w:t>
            </w:r>
            <w:r w:rsidR="00C00FC9">
              <w:rPr>
                <w:rFonts w:cs="Arial"/>
                <w:sz w:val="20"/>
                <w:szCs w:val="20"/>
              </w:rPr>
              <w:t xml:space="preserve">and report on </w:t>
            </w:r>
            <w:r>
              <w:rPr>
                <w:rFonts w:cs="Arial"/>
                <w:sz w:val="20"/>
                <w:szCs w:val="20"/>
              </w:rPr>
              <w:t xml:space="preserve">trend analysis of return rates </w:t>
            </w:r>
          </w:p>
          <w:p w:rsidR="00202CFC" w:rsidRDefault="00202CFC" w:rsidP="00053A3F">
            <w:pPr>
              <w:spacing w:after="0"/>
              <w:rPr>
                <w:rFonts w:cs="Arial"/>
                <w:sz w:val="20"/>
                <w:szCs w:val="20"/>
              </w:rPr>
            </w:pPr>
          </w:p>
          <w:p w:rsidR="00202CFC" w:rsidRDefault="00202CFC" w:rsidP="00053A3F">
            <w:pPr>
              <w:spacing w:after="0"/>
              <w:rPr>
                <w:rFonts w:cs="Arial"/>
                <w:sz w:val="20"/>
                <w:szCs w:val="20"/>
              </w:rPr>
            </w:pPr>
            <w:r>
              <w:rPr>
                <w:rFonts w:cs="Arial"/>
                <w:sz w:val="20"/>
                <w:szCs w:val="20"/>
              </w:rPr>
              <w:t xml:space="preserve">Work with CDS coordinators to improve data quality and reporting on reuse and recycling of containers   </w:t>
            </w:r>
          </w:p>
          <w:p w:rsidR="00053A3F" w:rsidRDefault="00053A3F" w:rsidP="00053A3F">
            <w:pPr>
              <w:spacing w:after="0"/>
              <w:rPr>
                <w:rFonts w:cs="Arial"/>
                <w:sz w:val="20"/>
                <w:szCs w:val="20"/>
              </w:rPr>
            </w:pPr>
          </w:p>
          <w:p w:rsidR="00202CFC" w:rsidRDefault="00202CFC" w:rsidP="004C365C">
            <w:pPr>
              <w:rPr>
                <w:rFonts w:cs="Arial"/>
                <w:sz w:val="20"/>
                <w:szCs w:val="20"/>
              </w:rPr>
            </w:pPr>
            <w:r>
              <w:rPr>
                <w:rFonts w:cs="Arial"/>
                <w:sz w:val="20"/>
                <w:szCs w:val="20"/>
              </w:rPr>
              <w:t>Develop a compliance and enforcement guideline</w:t>
            </w:r>
          </w:p>
          <w:p w:rsidR="00202CFC" w:rsidRDefault="00202CFC" w:rsidP="004C365C">
            <w:pPr>
              <w:rPr>
                <w:rFonts w:cs="Arial"/>
                <w:sz w:val="20"/>
                <w:szCs w:val="20"/>
              </w:rPr>
            </w:pPr>
            <w:r>
              <w:rPr>
                <w:rFonts w:cs="Arial"/>
                <w:sz w:val="20"/>
                <w:szCs w:val="20"/>
              </w:rPr>
              <w:t>Explore options for online reporting and implement system improvements</w:t>
            </w:r>
          </w:p>
          <w:p w:rsidR="00202CFC" w:rsidRPr="00241AFC" w:rsidRDefault="00202CFC" w:rsidP="004C365C">
            <w:pPr>
              <w:rPr>
                <w:rFonts w:cs="Arial"/>
                <w:sz w:val="20"/>
                <w:szCs w:val="20"/>
              </w:rPr>
            </w:pPr>
          </w:p>
        </w:tc>
        <w:tc>
          <w:tcPr>
            <w:tcW w:w="2415" w:type="dxa"/>
          </w:tcPr>
          <w:p w:rsidR="00202CFC" w:rsidRDefault="00202CFC" w:rsidP="00C00FC9">
            <w:pPr>
              <w:spacing w:after="0"/>
              <w:rPr>
                <w:rFonts w:cs="Arial"/>
                <w:sz w:val="20"/>
                <w:szCs w:val="20"/>
              </w:rPr>
            </w:pPr>
            <w:r w:rsidRPr="00241AFC">
              <w:rPr>
                <w:rFonts w:cs="Arial"/>
                <w:sz w:val="20"/>
                <w:szCs w:val="20"/>
              </w:rPr>
              <w:t xml:space="preserve">6 months </w:t>
            </w:r>
          </w:p>
          <w:p w:rsidR="00202CFC" w:rsidRDefault="00202CFC" w:rsidP="00C00FC9">
            <w:pPr>
              <w:spacing w:after="0"/>
              <w:rPr>
                <w:rFonts w:cs="Arial"/>
                <w:sz w:val="20"/>
                <w:szCs w:val="20"/>
              </w:rPr>
            </w:pPr>
          </w:p>
          <w:p w:rsidR="00202CFC" w:rsidRDefault="00202CFC" w:rsidP="00C00FC9">
            <w:pPr>
              <w:spacing w:after="0"/>
              <w:rPr>
                <w:rFonts w:cs="Arial"/>
                <w:sz w:val="20"/>
                <w:szCs w:val="20"/>
              </w:rPr>
            </w:pPr>
            <w:r>
              <w:rPr>
                <w:rFonts w:cs="Arial"/>
                <w:sz w:val="20"/>
                <w:szCs w:val="20"/>
              </w:rPr>
              <w:t>6 months</w:t>
            </w:r>
          </w:p>
          <w:p w:rsidR="00202CFC" w:rsidRDefault="00202CFC" w:rsidP="00C00FC9">
            <w:pPr>
              <w:spacing w:after="0"/>
              <w:rPr>
                <w:rFonts w:cs="Arial"/>
                <w:sz w:val="20"/>
                <w:szCs w:val="20"/>
              </w:rPr>
            </w:pPr>
          </w:p>
          <w:p w:rsidR="00C00FC9" w:rsidRDefault="00C00FC9" w:rsidP="00C00FC9">
            <w:pPr>
              <w:spacing w:after="0"/>
              <w:rPr>
                <w:rFonts w:cs="Arial"/>
                <w:sz w:val="20"/>
                <w:szCs w:val="20"/>
              </w:rPr>
            </w:pPr>
          </w:p>
          <w:p w:rsidR="00053A3F" w:rsidRDefault="00053A3F" w:rsidP="00C00FC9">
            <w:pPr>
              <w:spacing w:after="0"/>
              <w:rPr>
                <w:rFonts w:cs="Arial"/>
                <w:sz w:val="20"/>
                <w:szCs w:val="20"/>
              </w:rPr>
            </w:pPr>
          </w:p>
          <w:p w:rsidR="00202CFC" w:rsidRDefault="00202CFC" w:rsidP="00C00FC9">
            <w:pPr>
              <w:spacing w:after="0"/>
              <w:rPr>
                <w:rFonts w:cs="Arial"/>
                <w:sz w:val="20"/>
                <w:szCs w:val="20"/>
              </w:rPr>
            </w:pPr>
            <w:r>
              <w:rPr>
                <w:rFonts w:cs="Arial"/>
                <w:sz w:val="20"/>
                <w:szCs w:val="20"/>
              </w:rPr>
              <w:t>6 months</w:t>
            </w:r>
          </w:p>
          <w:p w:rsidR="00202CFC" w:rsidRDefault="00202CFC" w:rsidP="00C00FC9">
            <w:pPr>
              <w:spacing w:after="0"/>
              <w:rPr>
                <w:rFonts w:cs="Arial"/>
                <w:sz w:val="20"/>
                <w:szCs w:val="20"/>
              </w:rPr>
            </w:pPr>
          </w:p>
          <w:p w:rsidR="00C00FC9" w:rsidRPr="00241AFC" w:rsidRDefault="00227596" w:rsidP="00C00FC9">
            <w:pPr>
              <w:spacing w:after="0"/>
              <w:rPr>
                <w:rFonts w:cs="Arial"/>
                <w:sz w:val="20"/>
                <w:szCs w:val="20"/>
              </w:rPr>
            </w:pPr>
            <w:r>
              <w:rPr>
                <w:rFonts w:cs="Arial"/>
                <w:sz w:val="20"/>
                <w:szCs w:val="20"/>
              </w:rPr>
              <w:t>1</w:t>
            </w:r>
            <w:r w:rsidR="00C00FC9">
              <w:rPr>
                <w:rFonts w:cs="Arial"/>
                <w:sz w:val="20"/>
                <w:szCs w:val="20"/>
              </w:rPr>
              <w:t xml:space="preserve"> year</w:t>
            </w:r>
          </w:p>
        </w:tc>
      </w:tr>
      <w:tr w:rsidR="00202CFC" w:rsidRPr="00241AFC" w:rsidTr="002B3FB1">
        <w:trPr>
          <w:trHeight w:val="1114"/>
        </w:trPr>
        <w:tc>
          <w:tcPr>
            <w:tcW w:w="6964" w:type="dxa"/>
          </w:tcPr>
          <w:p w:rsidR="00202CFC" w:rsidRDefault="00202CFC" w:rsidP="004C365C">
            <w:pPr>
              <w:rPr>
                <w:rFonts w:cs="Arial"/>
                <w:bCs/>
                <w:sz w:val="20"/>
                <w:szCs w:val="20"/>
              </w:rPr>
            </w:pPr>
            <w:r w:rsidRPr="00241AFC">
              <w:rPr>
                <w:rFonts w:cs="Arial"/>
                <w:b/>
                <w:bCs/>
                <w:sz w:val="20"/>
                <w:szCs w:val="20"/>
              </w:rPr>
              <w:lastRenderedPageBreak/>
              <w:t>Recommendation 15:</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 xml:space="preserve">Explore and identify opportunities to promote circular economic activity and the domestic recycling of materials through the expansion and promotion of the domestic recycling industry and markets for recycled material. </w:t>
            </w:r>
          </w:p>
          <w:p w:rsidR="00202CFC" w:rsidRPr="00241AFC" w:rsidRDefault="00202CFC" w:rsidP="004C365C">
            <w:pPr>
              <w:rPr>
                <w:rFonts w:cs="Arial"/>
                <w:bCs/>
                <w:sz w:val="20"/>
                <w:szCs w:val="20"/>
              </w:rPr>
            </w:pPr>
          </w:p>
          <w:p w:rsidR="00202CFC" w:rsidRPr="00241AFC" w:rsidRDefault="00202CFC" w:rsidP="004C365C">
            <w:pPr>
              <w:rPr>
                <w:rFonts w:cs="Arial"/>
                <w:b/>
                <w:bCs/>
                <w:sz w:val="20"/>
                <w:szCs w:val="20"/>
              </w:rPr>
            </w:pPr>
            <w:r w:rsidRPr="00241AFC">
              <w:rPr>
                <w:rFonts w:cs="Arial"/>
                <w:b/>
                <w:bCs/>
                <w:sz w:val="20"/>
                <w:szCs w:val="20"/>
              </w:rPr>
              <w:t xml:space="preserve">Priority: </w:t>
            </w:r>
            <w:r w:rsidRPr="00241AFC">
              <w:rPr>
                <w:rFonts w:cs="Arial"/>
                <w:bCs/>
                <w:sz w:val="20"/>
                <w:szCs w:val="20"/>
              </w:rPr>
              <w:t>Medium</w:t>
            </w:r>
          </w:p>
        </w:tc>
        <w:tc>
          <w:tcPr>
            <w:tcW w:w="6252" w:type="dxa"/>
          </w:tcPr>
          <w:p w:rsidR="00202CFC" w:rsidRPr="00241AFC" w:rsidRDefault="00202CFC" w:rsidP="004C365C">
            <w:pPr>
              <w:rPr>
                <w:rFonts w:cs="Arial"/>
                <w:sz w:val="20"/>
                <w:szCs w:val="20"/>
              </w:rPr>
            </w:pPr>
            <w:r w:rsidRPr="00241AFC">
              <w:rPr>
                <w:rFonts w:cs="Arial"/>
                <w:sz w:val="20"/>
                <w:szCs w:val="20"/>
              </w:rPr>
              <w:t xml:space="preserve">Regular meetings with key stakeholders </w:t>
            </w:r>
            <w:r>
              <w:rPr>
                <w:rFonts w:cs="Arial"/>
                <w:sz w:val="20"/>
                <w:szCs w:val="20"/>
              </w:rPr>
              <w:t>to explore market opportunities to increase our recycling capacity and progress the Territory Government’s commitment to the National Waste Policy agenda</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sidRPr="00241AFC">
              <w:rPr>
                <w:rFonts w:cs="Arial"/>
                <w:sz w:val="20"/>
                <w:szCs w:val="20"/>
              </w:rPr>
              <w:t>2 years</w:t>
            </w:r>
          </w:p>
        </w:tc>
      </w:tr>
      <w:tr w:rsidR="00202CFC" w:rsidRPr="00241AFC" w:rsidTr="002B3FB1">
        <w:trPr>
          <w:trHeight w:val="2360"/>
        </w:trPr>
        <w:tc>
          <w:tcPr>
            <w:tcW w:w="6964" w:type="dxa"/>
          </w:tcPr>
          <w:p w:rsidR="00202CFC" w:rsidRDefault="00202CFC" w:rsidP="004C365C">
            <w:pPr>
              <w:rPr>
                <w:rFonts w:cs="Arial"/>
                <w:b/>
                <w:bCs/>
                <w:sz w:val="20"/>
                <w:szCs w:val="20"/>
              </w:rPr>
            </w:pPr>
            <w:r w:rsidRPr="00241AFC">
              <w:rPr>
                <w:rFonts w:cs="Arial"/>
                <w:b/>
                <w:bCs/>
                <w:sz w:val="20"/>
                <w:szCs w:val="20"/>
              </w:rPr>
              <w:t xml:space="preserve">Recommendation 16: </w:t>
            </w:r>
          </w:p>
          <w:p w:rsidR="00202CFC" w:rsidRPr="00241AFC" w:rsidRDefault="00202CFC" w:rsidP="004C365C">
            <w:pPr>
              <w:rPr>
                <w:rFonts w:cs="Arial"/>
                <w:bCs/>
                <w:sz w:val="20"/>
                <w:szCs w:val="20"/>
              </w:rPr>
            </w:pPr>
            <w:r w:rsidRPr="00241AFC">
              <w:rPr>
                <w:rFonts w:cs="Arial"/>
                <w:bCs/>
                <w:sz w:val="20"/>
                <w:szCs w:val="20"/>
              </w:rPr>
              <w:t>Develop a set of clear, step-by-step guidelines and FAQs for applicants describing the approval process and the required documentation.</w:t>
            </w:r>
          </w:p>
          <w:p w:rsidR="00202CFC" w:rsidRPr="00241AFC" w:rsidRDefault="00202CFC" w:rsidP="004C365C">
            <w:pPr>
              <w:rPr>
                <w:rFonts w:cs="Arial"/>
                <w:b/>
                <w:bCs/>
                <w:sz w:val="20"/>
                <w:szCs w:val="20"/>
              </w:rPr>
            </w:pPr>
          </w:p>
          <w:p w:rsidR="00202CFC" w:rsidRPr="00241AFC" w:rsidRDefault="00202CFC" w:rsidP="004C365C">
            <w:pPr>
              <w:rPr>
                <w:rFonts w:cs="Arial"/>
                <w:b/>
                <w:bCs/>
                <w:sz w:val="20"/>
                <w:szCs w:val="20"/>
              </w:rPr>
            </w:pPr>
            <w:r w:rsidRPr="00241AFC">
              <w:rPr>
                <w:rFonts w:cs="Arial"/>
                <w:b/>
                <w:bCs/>
                <w:sz w:val="20"/>
                <w:szCs w:val="20"/>
              </w:rPr>
              <w:t xml:space="preserve">Priority: </w:t>
            </w:r>
            <w:r w:rsidRPr="00241AFC">
              <w:rPr>
                <w:rFonts w:cs="Arial"/>
                <w:bCs/>
                <w:sz w:val="20"/>
                <w:szCs w:val="20"/>
              </w:rPr>
              <w:t>High</w:t>
            </w:r>
          </w:p>
          <w:p w:rsidR="00202CFC" w:rsidRPr="00241AFC" w:rsidRDefault="00202CFC" w:rsidP="004C365C">
            <w:pPr>
              <w:rPr>
                <w:rFonts w:cs="Arial"/>
                <w:b/>
                <w:bCs/>
                <w:sz w:val="20"/>
                <w:szCs w:val="20"/>
              </w:rPr>
            </w:pPr>
          </w:p>
        </w:tc>
        <w:tc>
          <w:tcPr>
            <w:tcW w:w="6252" w:type="dxa"/>
          </w:tcPr>
          <w:p w:rsidR="00202CFC" w:rsidRPr="00241AFC" w:rsidRDefault="00202CFC" w:rsidP="004C365C">
            <w:pPr>
              <w:rPr>
                <w:rFonts w:cs="Arial"/>
                <w:sz w:val="20"/>
                <w:szCs w:val="20"/>
              </w:rPr>
            </w:pPr>
            <w:r>
              <w:rPr>
                <w:rFonts w:cs="Arial"/>
                <w:sz w:val="20"/>
                <w:szCs w:val="20"/>
              </w:rPr>
              <w:t>Develop n</w:t>
            </w:r>
            <w:r w:rsidRPr="00241AFC">
              <w:rPr>
                <w:rFonts w:cs="Arial"/>
                <w:sz w:val="20"/>
                <w:szCs w:val="20"/>
              </w:rPr>
              <w:t>ew guidelines for collection depot approvals</w:t>
            </w:r>
            <w:r>
              <w:rPr>
                <w:rFonts w:cs="Arial"/>
                <w:sz w:val="20"/>
                <w:szCs w:val="20"/>
              </w:rPr>
              <w:t xml:space="preserve"> with </w:t>
            </w:r>
            <w:r w:rsidRPr="00241AFC">
              <w:rPr>
                <w:rFonts w:cs="Arial"/>
                <w:sz w:val="20"/>
                <w:szCs w:val="20"/>
              </w:rPr>
              <w:t xml:space="preserve"> FAQs</w:t>
            </w:r>
            <w:r>
              <w:rPr>
                <w:rFonts w:cs="Arial"/>
                <w:sz w:val="20"/>
                <w:szCs w:val="20"/>
              </w:rPr>
              <w:t xml:space="preserve"> for applicants</w:t>
            </w:r>
          </w:p>
          <w:p w:rsidR="00202CFC" w:rsidRPr="00241AFC" w:rsidRDefault="00202CFC" w:rsidP="004C365C">
            <w:pPr>
              <w:rPr>
                <w:rFonts w:cs="Arial"/>
                <w:sz w:val="20"/>
                <w:szCs w:val="20"/>
              </w:rPr>
            </w:pPr>
          </w:p>
          <w:p w:rsidR="00202C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Review guidelines</w:t>
            </w:r>
            <w:r>
              <w:rPr>
                <w:rFonts w:cs="Arial"/>
                <w:sz w:val="20"/>
                <w:szCs w:val="20"/>
              </w:rPr>
              <w:t xml:space="preserve"> for CDS approvals</w:t>
            </w:r>
          </w:p>
        </w:tc>
        <w:tc>
          <w:tcPr>
            <w:tcW w:w="2415" w:type="dxa"/>
          </w:tcPr>
          <w:p w:rsidR="00202CFC" w:rsidRPr="00241AFC" w:rsidRDefault="00202CFC" w:rsidP="00C00FC9">
            <w:pPr>
              <w:spacing w:after="0"/>
              <w:rPr>
                <w:rFonts w:cs="Arial"/>
                <w:sz w:val="20"/>
                <w:szCs w:val="20"/>
              </w:rPr>
            </w:pPr>
            <w:r w:rsidRPr="00241AFC">
              <w:rPr>
                <w:rFonts w:cs="Arial"/>
                <w:sz w:val="20"/>
                <w:szCs w:val="20"/>
              </w:rPr>
              <w:t>6 months</w:t>
            </w:r>
          </w:p>
          <w:p w:rsidR="00202CFC" w:rsidRDefault="00202CFC" w:rsidP="00C00FC9">
            <w:pPr>
              <w:spacing w:after="0"/>
              <w:rPr>
                <w:rFonts w:cs="Arial"/>
                <w:sz w:val="20"/>
                <w:szCs w:val="20"/>
              </w:rPr>
            </w:pPr>
          </w:p>
          <w:p w:rsidR="00C00FC9" w:rsidRDefault="00C00FC9" w:rsidP="00C00FC9">
            <w:pPr>
              <w:spacing w:after="0"/>
              <w:rPr>
                <w:rFonts w:cs="Arial"/>
                <w:sz w:val="20"/>
                <w:szCs w:val="20"/>
              </w:rPr>
            </w:pPr>
          </w:p>
          <w:p w:rsidR="00C00FC9" w:rsidRDefault="00C00FC9" w:rsidP="00C00FC9">
            <w:pPr>
              <w:spacing w:after="0"/>
              <w:rPr>
                <w:rFonts w:cs="Arial"/>
                <w:sz w:val="20"/>
                <w:szCs w:val="20"/>
              </w:rPr>
            </w:pPr>
          </w:p>
          <w:p w:rsidR="00C00FC9" w:rsidRDefault="00C00FC9" w:rsidP="00C00FC9">
            <w:pPr>
              <w:spacing w:after="0"/>
              <w:rPr>
                <w:rFonts w:cs="Arial"/>
                <w:sz w:val="20"/>
                <w:szCs w:val="20"/>
              </w:rPr>
            </w:pPr>
          </w:p>
          <w:p w:rsidR="00C00FC9" w:rsidRPr="00241AFC" w:rsidRDefault="00C00FC9" w:rsidP="00C00FC9">
            <w:pPr>
              <w:spacing w:after="0"/>
              <w:rPr>
                <w:rFonts w:cs="Arial"/>
                <w:sz w:val="20"/>
                <w:szCs w:val="20"/>
              </w:rPr>
            </w:pPr>
          </w:p>
          <w:p w:rsidR="00202CFC" w:rsidRPr="00241AFC" w:rsidRDefault="00202CFC" w:rsidP="00C00FC9">
            <w:pPr>
              <w:spacing w:after="0"/>
              <w:rPr>
                <w:rFonts w:cs="Arial"/>
                <w:sz w:val="20"/>
                <w:szCs w:val="20"/>
              </w:rPr>
            </w:pPr>
            <w:r w:rsidRPr="00241AFC">
              <w:rPr>
                <w:rFonts w:cs="Arial"/>
                <w:sz w:val="20"/>
                <w:szCs w:val="20"/>
              </w:rPr>
              <w:t>2 years</w:t>
            </w:r>
          </w:p>
        </w:tc>
      </w:tr>
      <w:tr w:rsidR="00202CFC" w:rsidRPr="00241AFC" w:rsidTr="002B3FB1">
        <w:trPr>
          <w:trHeight w:val="3448"/>
        </w:trPr>
        <w:tc>
          <w:tcPr>
            <w:tcW w:w="6964" w:type="dxa"/>
          </w:tcPr>
          <w:p w:rsidR="00202CFC" w:rsidRDefault="00202CFC" w:rsidP="004C365C">
            <w:pPr>
              <w:rPr>
                <w:rFonts w:cs="Arial"/>
                <w:bCs/>
                <w:sz w:val="20"/>
                <w:szCs w:val="20"/>
              </w:rPr>
            </w:pPr>
            <w:r w:rsidRPr="00241AFC">
              <w:rPr>
                <w:rFonts w:cs="Arial"/>
                <w:b/>
                <w:bCs/>
                <w:sz w:val="20"/>
                <w:szCs w:val="20"/>
              </w:rPr>
              <w:t>Recommendation 17:</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 xml:space="preserve">Identify inefficiencies in the container approval process and implement appropriate changes to eliminate or reduce inefficiencies identified and streamline the process. </w:t>
            </w:r>
          </w:p>
          <w:p w:rsidR="00202CFC" w:rsidRPr="00241AFC" w:rsidRDefault="00202CFC" w:rsidP="004C365C">
            <w:pPr>
              <w:rPr>
                <w:rFonts w:cs="Arial"/>
                <w:bCs/>
                <w:sz w:val="20"/>
                <w:szCs w:val="20"/>
              </w:rPr>
            </w:pPr>
          </w:p>
          <w:p w:rsidR="00202CFC" w:rsidRPr="00241AFC" w:rsidRDefault="00202CFC" w:rsidP="004C365C">
            <w:pPr>
              <w:rPr>
                <w:rFonts w:cs="Arial"/>
                <w:b/>
                <w:bCs/>
                <w:sz w:val="20"/>
                <w:szCs w:val="20"/>
              </w:rPr>
            </w:pPr>
            <w:r w:rsidRPr="00241AFC">
              <w:rPr>
                <w:rFonts w:cs="Arial"/>
                <w:b/>
                <w:bCs/>
                <w:sz w:val="20"/>
                <w:szCs w:val="20"/>
              </w:rPr>
              <w:t xml:space="preserve">Priority: </w:t>
            </w:r>
            <w:r w:rsidRPr="00241AFC">
              <w:rPr>
                <w:rFonts w:cs="Arial"/>
                <w:bCs/>
                <w:sz w:val="20"/>
                <w:szCs w:val="20"/>
              </w:rPr>
              <w:t>High</w:t>
            </w:r>
          </w:p>
        </w:tc>
        <w:tc>
          <w:tcPr>
            <w:tcW w:w="6252" w:type="dxa"/>
          </w:tcPr>
          <w:p w:rsidR="00202CFC" w:rsidRPr="00241AFC" w:rsidRDefault="00202CFC" w:rsidP="004C365C">
            <w:pPr>
              <w:rPr>
                <w:rFonts w:cs="Arial"/>
                <w:sz w:val="20"/>
                <w:szCs w:val="20"/>
              </w:rPr>
            </w:pPr>
            <w:r>
              <w:rPr>
                <w:rFonts w:cs="Arial"/>
                <w:sz w:val="20"/>
                <w:szCs w:val="20"/>
              </w:rPr>
              <w:t>Investigate options for efficiencies in the administration of supply approvals including online system upgrades; and make recommendations on efficiencies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p>
          <w:p w:rsidR="00202CFC" w:rsidRPr="00241AFC" w:rsidRDefault="00202CFC" w:rsidP="004C365C">
            <w:pPr>
              <w:rPr>
                <w:rFonts w:cs="Arial"/>
                <w:sz w:val="20"/>
                <w:szCs w:val="20"/>
              </w:rPr>
            </w:pPr>
            <w:r>
              <w:rPr>
                <w:rFonts w:cs="Arial"/>
                <w:sz w:val="20"/>
                <w:szCs w:val="20"/>
              </w:rPr>
              <w:t>1 years</w:t>
            </w: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p w:rsidR="00202CFC" w:rsidRPr="00241AFC" w:rsidRDefault="00202CFC" w:rsidP="004C365C">
            <w:pPr>
              <w:rPr>
                <w:rFonts w:cs="Arial"/>
                <w:sz w:val="20"/>
                <w:szCs w:val="20"/>
              </w:rPr>
            </w:pPr>
          </w:p>
        </w:tc>
      </w:tr>
      <w:tr w:rsidR="00202CFC" w:rsidTr="002B3FB1">
        <w:trPr>
          <w:trHeight w:val="1551"/>
        </w:trPr>
        <w:tc>
          <w:tcPr>
            <w:tcW w:w="6964" w:type="dxa"/>
          </w:tcPr>
          <w:p w:rsidR="00202CFC" w:rsidRDefault="00202CFC" w:rsidP="004C365C">
            <w:pPr>
              <w:rPr>
                <w:rFonts w:cs="Arial"/>
                <w:bCs/>
                <w:sz w:val="20"/>
                <w:szCs w:val="20"/>
              </w:rPr>
            </w:pPr>
            <w:r w:rsidRPr="00241AFC">
              <w:rPr>
                <w:rFonts w:cs="Arial"/>
                <w:b/>
                <w:bCs/>
                <w:sz w:val="20"/>
                <w:szCs w:val="20"/>
              </w:rPr>
              <w:t>Recommendation 18:</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 xml:space="preserve">Consider the potential for a “once off” approval for Manufacturers/ Suppliers, as opposed to the ongoing approval of each beverage container a Manufacturer/ Supplier supplies into the NT, and allow Manufacturers/ Suppliers to “self-regulate”. </w:t>
            </w:r>
          </w:p>
          <w:p w:rsidR="00202CFC" w:rsidRPr="00241AFC" w:rsidRDefault="00202CFC" w:rsidP="004C365C">
            <w:pPr>
              <w:rPr>
                <w:rFonts w:cs="Arial"/>
                <w:bCs/>
                <w:sz w:val="20"/>
                <w:szCs w:val="20"/>
              </w:rPr>
            </w:pPr>
          </w:p>
          <w:p w:rsidR="00202CFC" w:rsidRPr="00241A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High</w:t>
            </w:r>
          </w:p>
          <w:p w:rsidR="00202CFC" w:rsidRPr="00241AFC" w:rsidRDefault="00202CFC" w:rsidP="004C365C">
            <w:pPr>
              <w:rPr>
                <w:rFonts w:cs="Arial"/>
                <w:b/>
                <w:bCs/>
                <w:sz w:val="20"/>
                <w:szCs w:val="20"/>
              </w:rPr>
            </w:pPr>
          </w:p>
        </w:tc>
        <w:tc>
          <w:tcPr>
            <w:tcW w:w="6252" w:type="dxa"/>
          </w:tcPr>
          <w:p w:rsidR="00202CFC" w:rsidRDefault="00202CFC" w:rsidP="004C365C">
            <w:pPr>
              <w:rPr>
                <w:rFonts w:cs="Arial"/>
                <w:sz w:val="20"/>
                <w:szCs w:val="20"/>
              </w:rPr>
            </w:pPr>
            <w:r w:rsidRPr="00241AFC">
              <w:rPr>
                <w:rFonts w:cs="Arial"/>
                <w:sz w:val="20"/>
                <w:szCs w:val="20"/>
              </w:rPr>
              <w:t>Review manual procedures for CDS approvals</w:t>
            </w:r>
            <w:r w:rsidRPr="006D6895">
              <w:rPr>
                <w:rFonts w:cs="Arial"/>
                <w:sz w:val="20"/>
                <w:szCs w:val="20"/>
              </w:rPr>
              <w:t xml:space="preserve"> </w:t>
            </w:r>
          </w:p>
          <w:p w:rsidR="00202CFC" w:rsidRDefault="00202CFC" w:rsidP="004C365C">
            <w:pPr>
              <w:rPr>
                <w:rFonts w:cs="Arial"/>
                <w:sz w:val="20"/>
                <w:szCs w:val="20"/>
              </w:rPr>
            </w:pPr>
          </w:p>
          <w:p w:rsidR="00202CFC" w:rsidRPr="00241AFC" w:rsidRDefault="00202CFC" w:rsidP="004C365C">
            <w:pPr>
              <w:rPr>
                <w:rFonts w:cs="Arial"/>
                <w:sz w:val="20"/>
                <w:szCs w:val="20"/>
              </w:rPr>
            </w:pPr>
            <w:r w:rsidRPr="006D6895">
              <w:rPr>
                <w:rFonts w:cs="Arial"/>
                <w:sz w:val="20"/>
                <w:szCs w:val="20"/>
              </w:rPr>
              <w:t>Investigate options for efficiencies in the administration of supply approvals including online system upgrades</w:t>
            </w:r>
            <w:r>
              <w:rPr>
                <w:rFonts w:cs="Arial"/>
                <w:sz w:val="20"/>
                <w:szCs w:val="20"/>
              </w:rPr>
              <w:t>,</w:t>
            </w:r>
            <w:r w:rsidRPr="006D6895">
              <w:rPr>
                <w:rFonts w:cs="Arial"/>
                <w:sz w:val="20"/>
                <w:szCs w:val="20"/>
              </w:rPr>
              <w:t xml:space="preserve"> and make recommendations on efficiencies</w:t>
            </w:r>
          </w:p>
          <w:p w:rsidR="00202CFC" w:rsidRPr="00241AFC" w:rsidRDefault="00202CFC" w:rsidP="004C365C">
            <w:pPr>
              <w:rPr>
                <w:rFonts w:cs="Arial"/>
                <w:sz w:val="20"/>
                <w:szCs w:val="20"/>
              </w:rPr>
            </w:pPr>
          </w:p>
        </w:tc>
        <w:tc>
          <w:tcPr>
            <w:tcW w:w="2415" w:type="dxa"/>
          </w:tcPr>
          <w:p w:rsidR="00202CFC" w:rsidRDefault="00202CFC" w:rsidP="004C365C">
            <w:pPr>
              <w:rPr>
                <w:rFonts w:cs="Arial"/>
                <w:sz w:val="20"/>
                <w:szCs w:val="20"/>
              </w:rPr>
            </w:pPr>
            <w:r>
              <w:rPr>
                <w:rFonts w:cs="Arial"/>
                <w:sz w:val="20"/>
                <w:szCs w:val="20"/>
              </w:rPr>
              <w:t>6 months</w:t>
            </w:r>
          </w:p>
          <w:p w:rsidR="00202CFC" w:rsidRDefault="00202CFC" w:rsidP="004C365C">
            <w:pPr>
              <w:rPr>
                <w:rFonts w:cs="Arial"/>
                <w:sz w:val="20"/>
                <w:szCs w:val="20"/>
              </w:rPr>
            </w:pPr>
          </w:p>
          <w:p w:rsidR="00202CFC" w:rsidRPr="00241AFC" w:rsidRDefault="00202CFC" w:rsidP="004C365C">
            <w:pPr>
              <w:rPr>
                <w:rFonts w:cs="Arial"/>
                <w:sz w:val="20"/>
                <w:szCs w:val="20"/>
              </w:rPr>
            </w:pPr>
            <w:r w:rsidRPr="00241AFC">
              <w:rPr>
                <w:rFonts w:cs="Arial"/>
                <w:sz w:val="20"/>
                <w:szCs w:val="20"/>
              </w:rPr>
              <w:t>1 year</w:t>
            </w:r>
          </w:p>
          <w:p w:rsidR="00202CFC" w:rsidRDefault="00202CFC" w:rsidP="004C365C">
            <w:pPr>
              <w:rPr>
                <w:rFonts w:cs="Arial"/>
                <w:sz w:val="20"/>
                <w:szCs w:val="20"/>
              </w:rPr>
            </w:pPr>
          </w:p>
        </w:tc>
      </w:tr>
      <w:tr w:rsidR="00202CFC" w:rsidRPr="00241AFC" w:rsidTr="002B3FB1">
        <w:trPr>
          <w:trHeight w:val="3050"/>
        </w:trPr>
        <w:tc>
          <w:tcPr>
            <w:tcW w:w="6964" w:type="dxa"/>
          </w:tcPr>
          <w:p w:rsidR="00202CFC" w:rsidRDefault="00202CFC" w:rsidP="004C365C">
            <w:pPr>
              <w:rPr>
                <w:rFonts w:cs="Arial"/>
                <w:b/>
                <w:bCs/>
                <w:sz w:val="20"/>
                <w:szCs w:val="20"/>
              </w:rPr>
            </w:pPr>
            <w:r w:rsidRPr="00241AFC">
              <w:rPr>
                <w:rFonts w:cs="Arial"/>
                <w:b/>
                <w:bCs/>
                <w:sz w:val="20"/>
                <w:szCs w:val="20"/>
              </w:rPr>
              <w:t xml:space="preserve">Recommendation 19: </w:t>
            </w:r>
          </w:p>
          <w:p w:rsidR="00202CFC" w:rsidRPr="00241AFC" w:rsidRDefault="00202CFC" w:rsidP="004C365C">
            <w:pPr>
              <w:rPr>
                <w:rFonts w:cs="Arial"/>
                <w:bCs/>
                <w:sz w:val="20"/>
                <w:szCs w:val="20"/>
              </w:rPr>
            </w:pPr>
            <w:r w:rsidRPr="00241AFC">
              <w:rPr>
                <w:rFonts w:cs="Arial"/>
                <w:bCs/>
                <w:sz w:val="20"/>
                <w:szCs w:val="20"/>
              </w:rPr>
              <w:t xml:space="preserve">Advocate the adoption of a coordinated approach and or mutual recognition of container approvals across participating states and territories in Australia. As more schemes are established (for example Queensland and Western Australia), which have similar if not identical container scope, it would be more efficient for a centralised system of approvals to be used. </w:t>
            </w:r>
          </w:p>
          <w:p w:rsidR="00202CFC" w:rsidRPr="00241AFC" w:rsidRDefault="00202CFC" w:rsidP="004C365C">
            <w:pPr>
              <w:rPr>
                <w:rFonts w:cs="Arial"/>
                <w:bCs/>
                <w:sz w:val="20"/>
                <w:szCs w:val="20"/>
              </w:rPr>
            </w:pPr>
          </w:p>
          <w:p w:rsidR="00202CFC" w:rsidRPr="00241AFC" w:rsidRDefault="00202CFC" w:rsidP="004C365C">
            <w:pPr>
              <w:rPr>
                <w:rFonts w:cs="Arial"/>
                <w:bCs/>
                <w:sz w:val="20"/>
                <w:szCs w:val="20"/>
              </w:rPr>
            </w:pPr>
            <w:r w:rsidRPr="00241AFC">
              <w:rPr>
                <w:rFonts w:cs="Arial"/>
                <w:b/>
                <w:bCs/>
                <w:sz w:val="20"/>
                <w:szCs w:val="20"/>
              </w:rPr>
              <w:t xml:space="preserve">Priority: </w:t>
            </w:r>
            <w:r w:rsidRPr="00241AFC">
              <w:rPr>
                <w:rFonts w:cs="Arial"/>
                <w:bCs/>
                <w:sz w:val="20"/>
                <w:szCs w:val="20"/>
              </w:rPr>
              <w:t>Medium</w:t>
            </w:r>
          </w:p>
          <w:p w:rsidR="00202CFC" w:rsidRPr="00241AFC" w:rsidRDefault="00202CFC" w:rsidP="004C365C">
            <w:pPr>
              <w:rPr>
                <w:rFonts w:cs="Arial"/>
                <w:b/>
                <w:bCs/>
                <w:sz w:val="20"/>
                <w:szCs w:val="20"/>
              </w:rPr>
            </w:pPr>
          </w:p>
        </w:tc>
        <w:tc>
          <w:tcPr>
            <w:tcW w:w="6252" w:type="dxa"/>
          </w:tcPr>
          <w:p w:rsidR="00202CFC" w:rsidRPr="00241AFC" w:rsidRDefault="00202CFC" w:rsidP="004C365C">
            <w:pPr>
              <w:rPr>
                <w:rFonts w:cs="Arial"/>
                <w:sz w:val="20"/>
                <w:szCs w:val="20"/>
              </w:rPr>
            </w:pPr>
            <w:r w:rsidRPr="00241AFC">
              <w:rPr>
                <w:rFonts w:cs="Arial"/>
                <w:sz w:val="20"/>
                <w:szCs w:val="20"/>
              </w:rPr>
              <w:t xml:space="preserve">Participation in existing intergovernmental working groups </w:t>
            </w:r>
            <w:r>
              <w:rPr>
                <w:rFonts w:cs="Arial"/>
                <w:sz w:val="20"/>
                <w:szCs w:val="20"/>
              </w:rPr>
              <w:t xml:space="preserve">to support consistency </w:t>
            </w:r>
            <w:r w:rsidRPr="00B6431C">
              <w:rPr>
                <w:rFonts w:cs="Arial"/>
                <w:sz w:val="20"/>
                <w:szCs w:val="20"/>
              </w:rPr>
              <w:t>between existing and emerging schemes in other jurisdictions</w:t>
            </w:r>
            <w:r>
              <w:rPr>
                <w:rFonts w:cs="Arial"/>
                <w:sz w:val="20"/>
                <w:szCs w:val="20"/>
              </w:rPr>
              <w:t>,</w:t>
            </w:r>
            <w:r w:rsidRPr="00B6431C">
              <w:rPr>
                <w:rFonts w:cs="Arial"/>
                <w:sz w:val="20"/>
                <w:szCs w:val="20"/>
              </w:rPr>
              <w:t xml:space="preserve"> and </w:t>
            </w:r>
            <w:r>
              <w:rPr>
                <w:rFonts w:cs="Arial"/>
                <w:sz w:val="20"/>
                <w:szCs w:val="20"/>
              </w:rPr>
              <w:t xml:space="preserve">identify </w:t>
            </w:r>
            <w:r w:rsidRPr="00B6431C">
              <w:rPr>
                <w:rFonts w:cs="Arial"/>
                <w:sz w:val="20"/>
                <w:szCs w:val="20"/>
              </w:rPr>
              <w:t xml:space="preserve">opportunities for </w:t>
            </w:r>
            <w:r w:rsidR="003F306E">
              <w:rPr>
                <w:rFonts w:cs="Arial"/>
                <w:sz w:val="20"/>
                <w:szCs w:val="20"/>
              </w:rPr>
              <w:t xml:space="preserve">a </w:t>
            </w:r>
            <w:r w:rsidRPr="00B6431C">
              <w:rPr>
                <w:rFonts w:cs="Arial"/>
                <w:sz w:val="20"/>
                <w:szCs w:val="20"/>
              </w:rPr>
              <w:t>coordinated approach where possible</w:t>
            </w:r>
          </w:p>
          <w:p w:rsidR="00202CFC" w:rsidRPr="00241A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Pr>
                <w:rFonts w:cs="Arial"/>
                <w:sz w:val="20"/>
                <w:szCs w:val="20"/>
              </w:rPr>
              <w:t>Ongoing</w:t>
            </w:r>
          </w:p>
        </w:tc>
      </w:tr>
      <w:tr w:rsidR="00202CFC" w:rsidRPr="00241AFC" w:rsidTr="002B3FB1">
        <w:trPr>
          <w:trHeight w:val="1737"/>
        </w:trPr>
        <w:tc>
          <w:tcPr>
            <w:tcW w:w="6964" w:type="dxa"/>
          </w:tcPr>
          <w:p w:rsidR="00202CFC" w:rsidRDefault="00202CFC" w:rsidP="004C365C">
            <w:pPr>
              <w:rPr>
                <w:rFonts w:cs="Arial"/>
                <w:bCs/>
                <w:sz w:val="20"/>
                <w:szCs w:val="20"/>
              </w:rPr>
            </w:pPr>
            <w:r w:rsidRPr="00241AFC">
              <w:rPr>
                <w:rFonts w:cs="Arial"/>
                <w:b/>
                <w:bCs/>
                <w:sz w:val="20"/>
                <w:szCs w:val="20"/>
              </w:rPr>
              <w:t>Recommendation 20:</w:t>
            </w:r>
            <w:r w:rsidRPr="00241AFC">
              <w:rPr>
                <w:rFonts w:cs="Arial"/>
                <w:bCs/>
                <w:sz w:val="20"/>
                <w:szCs w:val="20"/>
              </w:rPr>
              <w:t xml:space="preserve"> </w:t>
            </w:r>
          </w:p>
          <w:p w:rsidR="00202CFC" w:rsidRPr="00241AFC" w:rsidRDefault="00202CFC" w:rsidP="004C365C">
            <w:pPr>
              <w:rPr>
                <w:rFonts w:cs="Arial"/>
                <w:bCs/>
                <w:sz w:val="20"/>
                <w:szCs w:val="20"/>
              </w:rPr>
            </w:pPr>
            <w:r w:rsidRPr="00241AFC">
              <w:rPr>
                <w:rFonts w:cs="Arial"/>
                <w:bCs/>
                <w:sz w:val="20"/>
                <w:szCs w:val="20"/>
              </w:rPr>
              <w:t>Assess the technology systems utilised in the container approval process. Determine whether technology systems are fit for purpose and implement automation into the technology systems.</w:t>
            </w:r>
          </w:p>
          <w:p w:rsidR="00202CFC" w:rsidRPr="00241AFC" w:rsidRDefault="00202CFC" w:rsidP="002B3FB1">
            <w:pPr>
              <w:rPr>
                <w:rFonts w:cs="Arial"/>
                <w:b/>
                <w:bCs/>
                <w:sz w:val="20"/>
                <w:szCs w:val="20"/>
              </w:rPr>
            </w:pPr>
            <w:r w:rsidRPr="00241AFC">
              <w:rPr>
                <w:rFonts w:cs="Arial"/>
                <w:b/>
                <w:bCs/>
                <w:sz w:val="20"/>
                <w:szCs w:val="20"/>
              </w:rPr>
              <w:t xml:space="preserve">Priority: </w:t>
            </w:r>
            <w:r w:rsidRPr="00241AFC">
              <w:rPr>
                <w:rFonts w:cs="Arial"/>
                <w:bCs/>
                <w:sz w:val="20"/>
                <w:szCs w:val="20"/>
              </w:rPr>
              <w:t>Medium</w:t>
            </w:r>
          </w:p>
        </w:tc>
        <w:tc>
          <w:tcPr>
            <w:tcW w:w="6252" w:type="dxa"/>
          </w:tcPr>
          <w:p w:rsidR="00202CFC" w:rsidRPr="00B6431C" w:rsidRDefault="00202CFC" w:rsidP="004C365C">
            <w:pPr>
              <w:rPr>
                <w:rFonts w:cs="Arial"/>
                <w:sz w:val="20"/>
                <w:szCs w:val="20"/>
              </w:rPr>
            </w:pPr>
            <w:r w:rsidRPr="00B6431C">
              <w:rPr>
                <w:rFonts w:cs="Arial"/>
                <w:sz w:val="20"/>
                <w:szCs w:val="20"/>
              </w:rPr>
              <w:t>Investigate options for efficiencies in the administration of supply approvals including online system upgrad</w:t>
            </w:r>
            <w:r>
              <w:rPr>
                <w:rFonts w:cs="Arial"/>
                <w:sz w:val="20"/>
                <w:szCs w:val="20"/>
              </w:rPr>
              <w:t xml:space="preserve">es; and make recommendations </w:t>
            </w:r>
            <w:r w:rsidRPr="00B6431C">
              <w:rPr>
                <w:rFonts w:cs="Arial"/>
                <w:sz w:val="20"/>
                <w:szCs w:val="20"/>
              </w:rPr>
              <w:t>on efficiencies</w:t>
            </w:r>
          </w:p>
          <w:p w:rsidR="00202CFC" w:rsidRDefault="00202CFC" w:rsidP="004C365C">
            <w:pPr>
              <w:rPr>
                <w:rFonts w:cs="Arial"/>
                <w:sz w:val="20"/>
                <w:szCs w:val="20"/>
              </w:rPr>
            </w:pPr>
          </w:p>
        </w:tc>
        <w:tc>
          <w:tcPr>
            <w:tcW w:w="2415" w:type="dxa"/>
          </w:tcPr>
          <w:p w:rsidR="00202CFC" w:rsidRPr="00241AFC" w:rsidRDefault="00202CFC" w:rsidP="004C365C">
            <w:pPr>
              <w:rPr>
                <w:rFonts w:cs="Arial"/>
                <w:sz w:val="20"/>
                <w:szCs w:val="20"/>
              </w:rPr>
            </w:pPr>
            <w:r w:rsidRPr="00241AFC">
              <w:rPr>
                <w:rFonts w:cs="Arial"/>
                <w:sz w:val="20"/>
                <w:szCs w:val="20"/>
              </w:rPr>
              <w:t>Ongoing</w:t>
            </w:r>
          </w:p>
        </w:tc>
      </w:tr>
      <w:tr w:rsidR="00202CFC" w:rsidRPr="00241AFC" w:rsidTr="00F64C48">
        <w:trPr>
          <w:trHeight w:val="2660"/>
        </w:trPr>
        <w:tc>
          <w:tcPr>
            <w:tcW w:w="6964" w:type="dxa"/>
          </w:tcPr>
          <w:p w:rsidR="00202CFC" w:rsidRDefault="00202CFC" w:rsidP="004C365C">
            <w:pPr>
              <w:rPr>
                <w:rFonts w:cs="Arial"/>
                <w:b/>
                <w:bCs/>
                <w:sz w:val="20"/>
                <w:szCs w:val="20"/>
              </w:rPr>
            </w:pPr>
            <w:r w:rsidRPr="00241AFC">
              <w:rPr>
                <w:rFonts w:cs="Arial"/>
                <w:b/>
                <w:bCs/>
                <w:sz w:val="20"/>
                <w:szCs w:val="20"/>
              </w:rPr>
              <w:lastRenderedPageBreak/>
              <w:t xml:space="preserve">Recommendation 21: </w:t>
            </w:r>
          </w:p>
          <w:p w:rsidR="00202CFC" w:rsidRPr="00241AFC" w:rsidRDefault="00202CFC" w:rsidP="004C365C">
            <w:pPr>
              <w:rPr>
                <w:rFonts w:cs="Arial"/>
                <w:bCs/>
                <w:sz w:val="20"/>
                <w:szCs w:val="20"/>
              </w:rPr>
            </w:pPr>
            <w:r w:rsidRPr="00241AFC">
              <w:rPr>
                <w:rFonts w:cs="Arial"/>
                <w:bCs/>
                <w:sz w:val="20"/>
                <w:szCs w:val="20"/>
              </w:rPr>
              <w:t>Investigate the potential for unclaimed refunds, either as a whole or in part, to flow through to the development of the CDS.</w:t>
            </w:r>
            <w:r w:rsidRPr="00241AFC">
              <w:rPr>
                <w:rFonts w:cs="Arial"/>
                <w:sz w:val="20"/>
                <w:szCs w:val="20"/>
              </w:rPr>
              <w:t xml:space="preserve"> </w:t>
            </w:r>
            <w:r w:rsidRPr="00241AFC">
              <w:rPr>
                <w:rFonts w:cs="Arial"/>
                <w:bCs/>
                <w:sz w:val="20"/>
                <w:szCs w:val="20"/>
              </w:rPr>
              <w:t>For example, a proportion of these funds could be used to fund to address the challenges facing remote communities (improved infrastructure, transport subsidies, support for ‘key people’). This funding could also be made available to the CDS infrastructure grants to help improve upstream packaging sustainability outcomes or collection and sorting infrastructure.</w:t>
            </w:r>
          </w:p>
          <w:p w:rsidR="00202CFC" w:rsidRPr="00241AFC" w:rsidRDefault="00202CFC" w:rsidP="004C365C">
            <w:pPr>
              <w:rPr>
                <w:rFonts w:cs="Arial"/>
                <w:b/>
                <w:bCs/>
                <w:sz w:val="20"/>
                <w:szCs w:val="20"/>
              </w:rPr>
            </w:pPr>
            <w:r w:rsidRPr="00241AFC">
              <w:rPr>
                <w:rFonts w:cs="Arial"/>
                <w:b/>
                <w:bCs/>
                <w:sz w:val="20"/>
                <w:szCs w:val="20"/>
              </w:rPr>
              <w:t xml:space="preserve">Priority: </w:t>
            </w:r>
            <w:r w:rsidRPr="00241AFC">
              <w:rPr>
                <w:rFonts w:cs="Arial"/>
                <w:bCs/>
                <w:sz w:val="20"/>
                <w:szCs w:val="20"/>
              </w:rPr>
              <w:t>Medium</w:t>
            </w:r>
          </w:p>
        </w:tc>
        <w:tc>
          <w:tcPr>
            <w:tcW w:w="6252" w:type="dxa"/>
          </w:tcPr>
          <w:p w:rsidR="00202CFC" w:rsidRPr="00241AFC" w:rsidRDefault="00202CFC" w:rsidP="004C365C">
            <w:pPr>
              <w:rPr>
                <w:rFonts w:cs="Arial"/>
                <w:sz w:val="20"/>
                <w:szCs w:val="20"/>
              </w:rPr>
            </w:pPr>
            <w:r>
              <w:rPr>
                <w:rFonts w:cs="Arial"/>
                <w:sz w:val="20"/>
                <w:szCs w:val="20"/>
              </w:rPr>
              <w:t xml:space="preserve">Give further consideration to the CDS funding including </w:t>
            </w:r>
            <w:r w:rsidRPr="003F2E42">
              <w:rPr>
                <w:rFonts w:cs="Arial"/>
                <w:sz w:val="20"/>
                <w:szCs w:val="20"/>
              </w:rPr>
              <w:t xml:space="preserve">policy and legislative </w:t>
            </w:r>
            <w:r>
              <w:rPr>
                <w:rFonts w:cs="Arial"/>
                <w:sz w:val="20"/>
                <w:szCs w:val="20"/>
              </w:rPr>
              <w:t>considerations, and other options for achieving the desired outcomes of this recommendation</w:t>
            </w:r>
          </w:p>
        </w:tc>
        <w:tc>
          <w:tcPr>
            <w:tcW w:w="2415" w:type="dxa"/>
          </w:tcPr>
          <w:p w:rsidR="00202CFC" w:rsidRPr="00241AFC" w:rsidRDefault="00202CFC" w:rsidP="004C365C">
            <w:pPr>
              <w:rPr>
                <w:rFonts w:cs="Arial"/>
                <w:sz w:val="20"/>
                <w:szCs w:val="20"/>
              </w:rPr>
            </w:pPr>
            <w:r w:rsidRPr="00241AFC">
              <w:rPr>
                <w:rFonts w:cs="Arial"/>
                <w:sz w:val="20"/>
                <w:szCs w:val="20"/>
              </w:rPr>
              <w:t>2 years</w:t>
            </w:r>
          </w:p>
        </w:tc>
      </w:tr>
    </w:tbl>
    <w:p w:rsidR="00D86FD1" w:rsidRDefault="00D86FD1" w:rsidP="005D5CA2">
      <w:pPr>
        <w:rPr>
          <w:rFonts w:cs="Arial"/>
          <w:b/>
          <w:sz w:val="32"/>
          <w:szCs w:val="32"/>
        </w:rPr>
        <w:sectPr w:rsidR="00D86FD1" w:rsidSect="00F64C48">
          <w:pgSz w:w="16838" w:h="11906" w:orient="landscape" w:code="9"/>
          <w:pgMar w:top="1134" w:right="1134" w:bottom="1134" w:left="1134" w:header="0" w:footer="0" w:gutter="0"/>
          <w:cols w:space="708"/>
          <w:docGrid w:linePitch="360"/>
        </w:sectPr>
      </w:pPr>
    </w:p>
    <w:p w:rsidR="005D5CA2" w:rsidRPr="008938C7" w:rsidRDefault="00D86FD1" w:rsidP="005D5CA2">
      <w:pPr>
        <w:rPr>
          <w:rFonts w:cs="Arial"/>
          <w:b/>
          <w:sz w:val="32"/>
          <w:szCs w:val="32"/>
        </w:rPr>
      </w:pPr>
      <w:r>
        <w:rPr>
          <w:rFonts w:cs="Arial"/>
          <w:b/>
          <w:sz w:val="32"/>
          <w:szCs w:val="32"/>
        </w:rPr>
        <w:lastRenderedPageBreak/>
        <w:t>A</w:t>
      </w:r>
      <w:r w:rsidR="005D5CA2" w:rsidRPr="008938C7">
        <w:rPr>
          <w:rFonts w:cs="Arial"/>
          <w:b/>
          <w:sz w:val="32"/>
          <w:szCs w:val="32"/>
        </w:rPr>
        <w:t xml:space="preserve"> staged approach</w:t>
      </w:r>
    </w:p>
    <w:p w:rsidR="005D5CA2" w:rsidRPr="00514985" w:rsidRDefault="005D5CA2" w:rsidP="005D5CA2">
      <w:pPr>
        <w:spacing w:before="120"/>
        <w:rPr>
          <w:rFonts w:cs="Arial"/>
          <w:sz w:val="24"/>
          <w:szCs w:val="24"/>
        </w:rPr>
      </w:pPr>
      <w:r w:rsidRPr="00514985">
        <w:rPr>
          <w:rFonts w:cs="Arial"/>
          <w:sz w:val="24"/>
          <w:szCs w:val="24"/>
        </w:rPr>
        <w:t xml:space="preserve">Some </w:t>
      </w:r>
      <w:r>
        <w:rPr>
          <w:rFonts w:cs="Arial"/>
          <w:sz w:val="24"/>
          <w:szCs w:val="24"/>
        </w:rPr>
        <w:t xml:space="preserve">of the review’s </w:t>
      </w:r>
      <w:r w:rsidRPr="00514985">
        <w:rPr>
          <w:rFonts w:cs="Arial"/>
          <w:sz w:val="24"/>
          <w:szCs w:val="24"/>
        </w:rPr>
        <w:t xml:space="preserve">recommendations will require engagement with industry and other government agencies with similar schemes across Australia. In some instances, consultation with industries other than the beverage container and recycling industries will be required. </w:t>
      </w:r>
    </w:p>
    <w:p w:rsidR="005D5CA2" w:rsidRPr="00514985" w:rsidRDefault="005D5CA2" w:rsidP="005D5CA2">
      <w:pPr>
        <w:spacing w:before="120"/>
        <w:rPr>
          <w:rFonts w:cs="Arial"/>
          <w:sz w:val="24"/>
          <w:szCs w:val="24"/>
        </w:rPr>
      </w:pPr>
      <w:r w:rsidRPr="00D51D8E">
        <w:rPr>
          <w:rFonts w:cs="Arial"/>
          <w:sz w:val="24"/>
          <w:szCs w:val="24"/>
        </w:rPr>
        <w:t>There are no immediate plans for regulatory change in response to the review recommendations</w:t>
      </w:r>
      <w:r>
        <w:rPr>
          <w:rFonts w:cs="Arial"/>
          <w:sz w:val="24"/>
          <w:szCs w:val="24"/>
        </w:rPr>
        <w:t>.</w:t>
      </w:r>
      <w:r w:rsidRPr="00D51D8E">
        <w:rPr>
          <w:rFonts w:cs="Arial"/>
          <w:sz w:val="24"/>
          <w:szCs w:val="24"/>
        </w:rPr>
        <w:t xml:space="preserve"> </w:t>
      </w:r>
      <w:r w:rsidRPr="00514985">
        <w:rPr>
          <w:rFonts w:cs="Arial"/>
          <w:sz w:val="24"/>
          <w:szCs w:val="24"/>
        </w:rPr>
        <w:t>Should the need for regulatory changes be identified, this will be considered in consultation with industry, the community and relevant key stakeholders consistent with the Northern Territory Government’s commitment to deliver effective and efficient regulation with minimal imposts on businesses and the community.</w:t>
      </w:r>
    </w:p>
    <w:p w:rsidR="005D5CA2" w:rsidRDefault="005D5CA2" w:rsidP="005D5CA2">
      <w:pPr>
        <w:rPr>
          <w:rFonts w:cs="Arial"/>
          <w:b/>
          <w:sz w:val="28"/>
          <w:szCs w:val="28"/>
        </w:rPr>
      </w:pPr>
      <w:r w:rsidRPr="00514985">
        <w:rPr>
          <w:rFonts w:cs="Arial"/>
          <w:sz w:val="24"/>
          <w:szCs w:val="24"/>
        </w:rPr>
        <w:t>An implementation plan has been developed which will see the recommendations rolled out in a phased approach over the next two years.</w:t>
      </w:r>
    </w:p>
    <w:p w:rsidR="005D5CA2" w:rsidRPr="008938C7" w:rsidRDefault="005D5CA2" w:rsidP="005D5CA2">
      <w:pPr>
        <w:rPr>
          <w:rFonts w:cs="Arial"/>
          <w:b/>
          <w:sz w:val="28"/>
          <w:szCs w:val="28"/>
        </w:rPr>
      </w:pPr>
      <w:r>
        <w:rPr>
          <w:rFonts w:cs="Arial"/>
          <w:b/>
          <w:sz w:val="28"/>
          <w:szCs w:val="28"/>
        </w:rPr>
        <w:t>W</w:t>
      </w:r>
      <w:r w:rsidRPr="008938C7">
        <w:rPr>
          <w:rFonts w:cs="Arial"/>
          <w:b/>
          <w:sz w:val="28"/>
          <w:szCs w:val="28"/>
        </w:rPr>
        <w:t>ithin six months</w:t>
      </w:r>
      <w:r w:rsidRPr="008938C7">
        <w:rPr>
          <w:rStyle w:val="FootnoteReference"/>
          <w:rFonts w:cs="Arial"/>
          <w:b/>
          <w:sz w:val="28"/>
          <w:szCs w:val="28"/>
        </w:rPr>
        <w:footnoteReference w:id="1"/>
      </w:r>
      <w:r w:rsidRPr="008938C7">
        <w:rPr>
          <w:rFonts w:cs="Arial"/>
          <w:b/>
          <w:sz w:val="28"/>
          <w:szCs w:val="28"/>
        </w:rPr>
        <w:t xml:space="preserve"> </w:t>
      </w:r>
    </w:p>
    <w:p w:rsidR="005D5CA2" w:rsidRPr="00AF747C" w:rsidRDefault="005D5CA2" w:rsidP="005D5CA2">
      <w:pPr>
        <w:rPr>
          <w:rFonts w:cs="Arial"/>
          <w:sz w:val="24"/>
          <w:szCs w:val="24"/>
        </w:rPr>
      </w:pPr>
      <w:r w:rsidRPr="00AF747C">
        <w:rPr>
          <w:rFonts w:cs="Arial"/>
          <w:b/>
          <w:sz w:val="24"/>
          <w:szCs w:val="24"/>
        </w:rPr>
        <w:t>Community engagement:</w:t>
      </w:r>
      <w:r>
        <w:rPr>
          <w:rFonts w:cs="Arial"/>
          <w:sz w:val="24"/>
          <w:szCs w:val="24"/>
        </w:rPr>
        <w:t xml:space="preserve"> </w:t>
      </w:r>
      <w:r w:rsidRPr="00AF747C">
        <w:rPr>
          <w:rFonts w:cs="Arial"/>
          <w:sz w:val="24"/>
          <w:szCs w:val="24"/>
        </w:rPr>
        <w:t>Develop and implement a community and awareness engagement strategy:</w:t>
      </w:r>
    </w:p>
    <w:p w:rsidR="005D5CA2" w:rsidRPr="00A559D8" w:rsidRDefault="005D5CA2" w:rsidP="005D5CA2">
      <w:pPr>
        <w:pStyle w:val="ListParagraph"/>
        <w:numPr>
          <w:ilvl w:val="0"/>
          <w:numId w:val="46"/>
        </w:numPr>
        <w:tabs>
          <w:tab w:val="left" w:pos="720"/>
          <w:tab w:val="left" w:pos="1440"/>
          <w:tab w:val="left" w:pos="2160"/>
          <w:tab w:val="left" w:pos="2880"/>
          <w:tab w:val="decimal" w:pos="5040"/>
          <w:tab w:val="decimal" w:pos="7200"/>
        </w:tabs>
        <w:contextualSpacing/>
        <w:rPr>
          <w:rFonts w:cs="Arial"/>
          <w:sz w:val="24"/>
          <w:szCs w:val="24"/>
        </w:rPr>
      </w:pPr>
      <w:r w:rsidRPr="00A559D8">
        <w:rPr>
          <w:rFonts w:cs="Arial"/>
          <w:sz w:val="24"/>
          <w:szCs w:val="24"/>
        </w:rPr>
        <w:t>to improve public access to the CDS by increasing awareness about the containers included in the scheme and about access to depots and collection points (recommendations 1-3, and 6-7).</w:t>
      </w:r>
    </w:p>
    <w:p w:rsidR="005D5CA2" w:rsidRPr="00A559D8" w:rsidRDefault="005D5CA2" w:rsidP="005D5CA2">
      <w:pPr>
        <w:pStyle w:val="ListParagraph"/>
        <w:numPr>
          <w:ilvl w:val="0"/>
          <w:numId w:val="46"/>
        </w:numPr>
        <w:tabs>
          <w:tab w:val="left" w:pos="720"/>
          <w:tab w:val="left" w:pos="1440"/>
          <w:tab w:val="left" w:pos="2160"/>
          <w:tab w:val="left" w:pos="2880"/>
          <w:tab w:val="decimal" w:pos="5040"/>
          <w:tab w:val="decimal" w:pos="7200"/>
        </w:tabs>
        <w:contextualSpacing/>
        <w:rPr>
          <w:rFonts w:cs="Arial"/>
          <w:sz w:val="24"/>
          <w:szCs w:val="24"/>
        </w:rPr>
      </w:pPr>
      <w:r w:rsidRPr="00A559D8">
        <w:rPr>
          <w:rFonts w:cs="Arial"/>
          <w:sz w:val="24"/>
          <w:szCs w:val="24"/>
        </w:rPr>
        <w:t>incorporating targeted communication with key stakeholders such as regional waste working groups, local government and CDS approval holders to promote and facilitate access to the scheme in regional and remote areas</w:t>
      </w:r>
      <w:r w:rsidR="00EA615B">
        <w:rPr>
          <w:rFonts w:cs="Arial"/>
          <w:sz w:val="24"/>
          <w:szCs w:val="24"/>
        </w:rPr>
        <w:br/>
      </w:r>
      <w:r w:rsidRPr="00A559D8">
        <w:rPr>
          <w:rFonts w:cs="Arial"/>
          <w:sz w:val="24"/>
          <w:szCs w:val="24"/>
        </w:rPr>
        <w:t>(recommendations 9-10).</w:t>
      </w:r>
    </w:p>
    <w:p w:rsidR="005D5CA2" w:rsidRPr="00AF747C" w:rsidRDefault="005D5CA2" w:rsidP="005D5CA2">
      <w:pPr>
        <w:rPr>
          <w:rFonts w:cs="Arial"/>
          <w:sz w:val="24"/>
          <w:szCs w:val="24"/>
        </w:rPr>
      </w:pPr>
      <w:r w:rsidRPr="00AF747C">
        <w:rPr>
          <w:rFonts w:cs="Arial"/>
          <w:b/>
          <w:sz w:val="24"/>
          <w:szCs w:val="24"/>
        </w:rPr>
        <w:t>New guidelines:</w:t>
      </w:r>
      <w:r w:rsidRPr="00AF747C">
        <w:rPr>
          <w:rFonts w:cs="Arial"/>
          <w:sz w:val="24"/>
          <w:szCs w:val="24"/>
        </w:rPr>
        <w:t xml:space="preserve"> Develop new guidelines for collection depot approvals with frequently asked questions to improve access to collection facilities by facilitating the application process for applicants (recommendation 16).</w:t>
      </w:r>
    </w:p>
    <w:p w:rsidR="005D5CA2" w:rsidRPr="00AF747C" w:rsidRDefault="005D5CA2" w:rsidP="005D5CA2">
      <w:pPr>
        <w:rPr>
          <w:rFonts w:cs="Arial"/>
          <w:sz w:val="24"/>
          <w:szCs w:val="24"/>
        </w:rPr>
      </w:pPr>
      <w:r w:rsidRPr="00AF747C">
        <w:rPr>
          <w:rFonts w:cs="Arial"/>
          <w:b/>
          <w:sz w:val="24"/>
          <w:szCs w:val="24"/>
        </w:rPr>
        <w:t>Review manual procedures:</w:t>
      </w:r>
      <w:r w:rsidRPr="00AF747C">
        <w:rPr>
          <w:rFonts w:cs="Arial"/>
          <w:sz w:val="24"/>
          <w:szCs w:val="24"/>
        </w:rPr>
        <w:t xml:space="preserve"> </w:t>
      </w:r>
      <w:r>
        <w:rPr>
          <w:rFonts w:cs="Arial"/>
          <w:sz w:val="24"/>
          <w:szCs w:val="24"/>
        </w:rPr>
        <w:t xml:space="preserve">Review the procedures </w:t>
      </w:r>
      <w:r w:rsidRPr="00AF747C">
        <w:rPr>
          <w:rFonts w:cs="Arial"/>
          <w:sz w:val="24"/>
          <w:szCs w:val="24"/>
        </w:rPr>
        <w:t>for administering CDS approvals to identify any immediate improvements that may be achieved through procedural change and/or minor system upgrades (recommendations 16 and 17).</w:t>
      </w:r>
    </w:p>
    <w:p w:rsidR="005D5CA2" w:rsidRPr="00AF747C" w:rsidRDefault="005D5CA2" w:rsidP="005D5CA2">
      <w:pPr>
        <w:rPr>
          <w:rFonts w:cs="Arial"/>
          <w:sz w:val="24"/>
          <w:szCs w:val="24"/>
        </w:rPr>
      </w:pPr>
      <w:r w:rsidRPr="00AF747C">
        <w:rPr>
          <w:rFonts w:cs="Arial"/>
          <w:b/>
          <w:sz w:val="24"/>
          <w:szCs w:val="24"/>
        </w:rPr>
        <w:t>Compliance and Enforcement Guideline:</w:t>
      </w:r>
      <w:r w:rsidRPr="00AF747C">
        <w:rPr>
          <w:rFonts w:cs="Arial"/>
          <w:sz w:val="24"/>
          <w:szCs w:val="24"/>
        </w:rPr>
        <w:t xml:space="preserve"> Develop a CDS compliance and enforcement guideline to support and strengthen industry’s operation of the scheme, and reporting on the scheme’s performance (recommendations 5 and 14).</w:t>
      </w:r>
    </w:p>
    <w:p w:rsidR="005D5CA2" w:rsidRPr="008938C7" w:rsidRDefault="005D5CA2" w:rsidP="005D5CA2">
      <w:pPr>
        <w:rPr>
          <w:rFonts w:cs="Arial"/>
          <w:b/>
          <w:sz w:val="28"/>
          <w:szCs w:val="28"/>
        </w:rPr>
      </w:pPr>
      <w:r>
        <w:rPr>
          <w:rFonts w:cs="Arial"/>
          <w:b/>
          <w:sz w:val="28"/>
          <w:szCs w:val="28"/>
        </w:rPr>
        <w:lastRenderedPageBreak/>
        <w:t>W</w:t>
      </w:r>
      <w:r w:rsidRPr="008938C7">
        <w:rPr>
          <w:rFonts w:cs="Arial"/>
          <w:b/>
          <w:sz w:val="28"/>
          <w:szCs w:val="28"/>
        </w:rPr>
        <w:t>ithin six to twelve months</w:t>
      </w:r>
    </w:p>
    <w:p w:rsidR="005D5CA2" w:rsidRPr="00732739" w:rsidRDefault="005D5CA2" w:rsidP="005D5CA2">
      <w:pPr>
        <w:rPr>
          <w:rFonts w:cs="Arial"/>
          <w:sz w:val="24"/>
          <w:szCs w:val="24"/>
        </w:rPr>
      </w:pPr>
      <w:r>
        <w:rPr>
          <w:rFonts w:cs="Arial"/>
          <w:b/>
          <w:sz w:val="24"/>
          <w:szCs w:val="24"/>
        </w:rPr>
        <w:t>Investigate improvements</w:t>
      </w:r>
      <w:r w:rsidRPr="00732739">
        <w:rPr>
          <w:rFonts w:cs="Arial"/>
          <w:b/>
          <w:sz w:val="24"/>
          <w:szCs w:val="24"/>
        </w:rPr>
        <w:t>:</w:t>
      </w:r>
      <w:r w:rsidRPr="00732739">
        <w:rPr>
          <w:rFonts w:cs="Arial"/>
          <w:sz w:val="24"/>
          <w:szCs w:val="24"/>
        </w:rPr>
        <w:t xml:space="preserve"> Investigate the changes needed in the scheme’s operations to support ‘once off’ approvals for, and ‘self-regulation’ by beverage manufactures/ suppliers. Th</w:t>
      </w:r>
      <w:r>
        <w:rPr>
          <w:rFonts w:cs="Arial"/>
          <w:sz w:val="24"/>
          <w:szCs w:val="24"/>
        </w:rPr>
        <w:t>e investigation will</w:t>
      </w:r>
      <w:r w:rsidRPr="00732739">
        <w:rPr>
          <w:rFonts w:cs="Arial"/>
          <w:sz w:val="24"/>
          <w:szCs w:val="24"/>
        </w:rPr>
        <w:t xml:space="preserve"> include system upgrades</w:t>
      </w:r>
      <w:r>
        <w:rPr>
          <w:rFonts w:cs="Arial"/>
          <w:sz w:val="24"/>
          <w:szCs w:val="24"/>
        </w:rPr>
        <w:t xml:space="preserve"> and any</w:t>
      </w:r>
      <w:r w:rsidRPr="00732739">
        <w:rPr>
          <w:rFonts w:cs="Arial"/>
          <w:sz w:val="24"/>
          <w:szCs w:val="24"/>
        </w:rPr>
        <w:t xml:space="preserve"> regulatory reforms </w:t>
      </w:r>
      <w:r>
        <w:rPr>
          <w:rFonts w:cs="Arial"/>
          <w:sz w:val="24"/>
          <w:szCs w:val="24"/>
        </w:rPr>
        <w:t xml:space="preserve">needed to achieve greater </w:t>
      </w:r>
      <w:r w:rsidRPr="00732739">
        <w:rPr>
          <w:rFonts w:cs="Arial"/>
          <w:sz w:val="24"/>
          <w:szCs w:val="24"/>
        </w:rPr>
        <w:t>efficiencies in administration of supply approvals</w:t>
      </w:r>
      <w:r>
        <w:rPr>
          <w:rFonts w:cs="Arial"/>
          <w:sz w:val="24"/>
          <w:szCs w:val="24"/>
        </w:rPr>
        <w:t>. A proposal will be developed</w:t>
      </w:r>
      <w:r w:rsidRPr="00732739">
        <w:rPr>
          <w:rFonts w:cs="Arial"/>
          <w:sz w:val="24"/>
          <w:szCs w:val="24"/>
        </w:rPr>
        <w:t xml:space="preserve"> based on the outcomes of the investigation (recommendations 17, 18 and 20).</w:t>
      </w:r>
    </w:p>
    <w:p w:rsidR="005D5CA2" w:rsidRPr="00732739" w:rsidRDefault="005D5CA2" w:rsidP="005D5CA2">
      <w:pPr>
        <w:rPr>
          <w:rFonts w:cs="Arial"/>
          <w:sz w:val="24"/>
          <w:szCs w:val="24"/>
        </w:rPr>
      </w:pPr>
      <w:r w:rsidRPr="00187187">
        <w:rPr>
          <w:rFonts w:cs="Arial"/>
          <w:b/>
          <w:sz w:val="24"/>
          <w:szCs w:val="24"/>
        </w:rPr>
        <w:t>Set targets:</w:t>
      </w:r>
      <w:r w:rsidRPr="00187187">
        <w:rPr>
          <w:rFonts w:cs="Arial"/>
          <w:sz w:val="24"/>
          <w:szCs w:val="24"/>
        </w:rPr>
        <w:t xml:space="preserve"> Develop</w:t>
      </w:r>
      <w:r>
        <w:rPr>
          <w:rFonts w:cs="Arial"/>
          <w:sz w:val="24"/>
          <w:szCs w:val="24"/>
        </w:rPr>
        <w:t>,</w:t>
      </w:r>
      <w:r w:rsidRPr="00187187">
        <w:rPr>
          <w:rFonts w:cs="Arial"/>
          <w:sz w:val="24"/>
          <w:szCs w:val="24"/>
        </w:rPr>
        <w:t xml:space="preserve"> in consultation with the CDS coordinators, a set of resource recovery targets</w:t>
      </w:r>
      <w:r w:rsidRPr="00732739">
        <w:rPr>
          <w:rFonts w:cs="Arial"/>
          <w:sz w:val="24"/>
          <w:szCs w:val="24"/>
        </w:rPr>
        <w:t xml:space="preserve"> and present the proposed targets to the Environment Minister for consideration (recommendation 13).</w:t>
      </w:r>
    </w:p>
    <w:p w:rsidR="005D5CA2" w:rsidRPr="00732739" w:rsidRDefault="005D5CA2" w:rsidP="005D5CA2">
      <w:pPr>
        <w:rPr>
          <w:rFonts w:cs="Arial"/>
          <w:sz w:val="24"/>
          <w:szCs w:val="24"/>
        </w:rPr>
      </w:pPr>
      <w:r w:rsidRPr="00732739">
        <w:rPr>
          <w:rFonts w:cs="Arial"/>
          <w:b/>
          <w:sz w:val="24"/>
          <w:szCs w:val="24"/>
        </w:rPr>
        <w:t>Improve access:</w:t>
      </w:r>
      <w:r w:rsidRPr="00732739">
        <w:rPr>
          <w:rFonts w:cs="Arial"/>
          <w:sz w:val="24"/>
          <w:szCs w:val="24"/>
        </w:rPr>
        <w:t xml:space="preserve"> </w:t>
      </w:r>
      <w:r>
        <w:rPr>
          <w:rFonts w:cs="Arial"/>
          <w:sz w:val="24"/>
          <w:szCs w:val="24"/>
        </w:rPr>
        <w:t>F</w:t>
      </w:r>
      <w:r w:rsidRPr="00732739">
        <w:rPr>
          <w:rFonts w:cs="Arial"/>
          <w:sz w:val="24"/>
          <w:szCs w:val="24"/>
        </w:rPr>
        <w:t xml:space="preserve">acilitate improved public access to </w:t>
      </w:r>
      <w:r>
        <w:rPr>
          <w:rFonts w:cs="Arial"/>
          <w:sz w:val="24"/>
          <w:szCs w:val="24"/>
        </w:rPr>
        <w:t xml:space="preserve">the </w:t>
      </w:r>
      <w:r w:rsidRPr="00732739">
        <w:rPr>
          <w:rFonts w:cs="Arial"/>
          <w:sz w:val="24"/>
          <w:szCs w:val="24"/>
        </w:rPr>
        <w:t>CDS through:</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 xml:space="preserve">promoting and supporting access to environment grants for the development of the CDS infrastructure and collection points in remote communities to (recommendation 11). </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exploring methods such as interactive technology to promote awareness of the location of collection depots, and to facilitate access to information about location of collection points (recommendations 7 and 9).</w:t>
      </w:r>
    </w:p>
    <w:p w:rsidR="005D5CA2" w:rsidRPr="008938C7" w:rsidRDefault="005D5CA2" w:rsidP="005D5CA2">
      <w:pPr>
        <w:rPr>
          <w:rFonts w:cs="Arial"/>
          <w:sz w:val="24"/>
          <w:szCs w:val="24"/>
        </w:rPr>
      </w:pPr>
      <w:r w:rsidRPr="008938C7">
        <w:rPr>
          <w:rFonts w:cs="Arial"/>
          <w:b/>
          <w:sz w:val="24"/>
          <w:szCs w:val="24"/>
        </w:rPr>
        <w:t>Collection points:</w:t>
      </w:r>
      <w:r w:rsidRPr="008938C7">
        <w:rPr>
          <w:rFonts w:cs="Arial"/>
          <w:sz w:val="24"/>
          <w:szCs w:val="24"/>
        </w:rPr>
        <w:t xml:space="preserve"> </w:t>
      </w:r>
      <w:r>
        <w:rPr>
          <w:rFonts w:cs="Arial"/>
          <w:sz w:val="24"/>
          <w:szCs w:val="24"/>
        </w:rPr>
        <w:t>F</w:t>
      </w:r>
      <w:r w:rsidRPr="008938C7">
        <w:rPr>
          <w:rFonts w:cs="Arial"/>
          <w:sz w:val="24"/>
          <w:szCs w:val="24"/>
        </w:rPr>
        <w:t>acilitate sustainability of collection points (existing and proposed):</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 xml:space="preserve">on an ongoing basis by identifying and facilitating strategic partnerships to aid or encourage opportunities that support sustainable collection points (recommendation 12) </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by working with regional councils to identify organisations and individuals involved in the operation of collection points, and their training and support needs, and solutions to address those needs (recommendation 10).</w:t>
      </w:r>
    </w:p>
    <w:p w:rsidR="005D5CA2" w:rsidRPr="008938C7" w:rsidRDefault="005D5CA2" w:rsidP="005D5CA2">
      <w:pPr>
        <w:rPr>
          <w:rFonts w:cs="Arial"/>
          <w:sz w:val="24"/>
          <w:szCs w:val="24"/>
        </w:rPr>
      </w:pPr>
      <w:r w:rsidRPr="008938C7">
        <w:rPr>
          <w:rFonts w:cs="Arial"/>
          <w:b/>
          <w:sz w:val="24"/>
          <w:szCs w:val="24"/>
        </w:rPr>
        <w:t>Stakeholder engagement:</w:t>
      </w:r>
      <w:r w:rsidRPr="008938C7">
        <w:rPr>
          <w:rFonts w:cs="Arial"/>
          <w:sz w:val="24"/>
          <w:szCs w:val="24"/>
        </w:rPr>
        <w:t xml:space="preserve"> Work with key stakeholders on an ongoing basis including through existing forums, and with local government, regional and remote waste working groups and </w:t>
      </w:r>
      <w:r>
        <w:rPr>
          <w:rFonts w:cs="Arial"/>
          <w:sz w:val="24"/>
          <w:szCs w:val="24"/>
        </w:rPr>
        <w:t>non-government organisations (</w:t>
      </w:r>
      <w:r w:rsidRPr="008938C7">
        <w:rPr>
          <w:rFonts w:cs="Arial"/>
          <w:sz w:val="24"/>
          <w:szCs w:val="24"/>
        </w:rPr>
        <w:t>NGOs</w:t>
      </w:r>
      <w:r>
        <w:rPr>
          <w:rFonts w:cs="Arial"/>
          <w:sz w:val="24"/>
          <w:szCs w:val="24"/>
        </w:rPr>
        <w:t>)</w:t>
      </w:r>
      <w:r w:rsidRPr="008938C7">
        <w:rPr>
          <w:rFonts w:cs="Arial"/>
          <w:sz w:val="24"/>
          <w:szCs w:val="24"/>
        </w:rPr>
        <w:t xml:space="preserve"> to:</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promote increased public access to facilities for depositing empty containers (depots, reverse vending machines and collection points in public areas)</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 xml:space="preserve">facilitate the development of innovative solutions through environment grants to increase access to these facilities (recommendation 6). </w:t>
      </w:r>
    </w:p>
    <w:p w:rsidR="005D5CA2" w:rsidRPr="00A559D8" w:rsidRDefault="005D5CA2" w:rsidP="005D5CA2">
      <w:pPr>
        <w:rPr>
          <w:rFonts w:cs="Arial"/>
          <w:sz w:val="24"/>
          <w:szCs w:val="24"/>
        </w:rPr>
      </w:pPr>
      <w:r w:rsidRPr="008938C7">
        <w:rPr>
          <w:rFonts w:cs="Arial"/>
          <w:b/>
          <w:sz w:val="24"/>
          <w:szCs w:val="24"/>
        </w:rPr>
        <w:t>Improve data, monitoring and reporting</w:t>
      </w:r>
      <w:r w:rsidRPr="008938C7">
        <w:rPr>
          <w:rFonts w:cs="Arial"/>
          <w:sz w:val="24"/>
          <w:szCs w:val="24"/>
        </w:rPr>
        <w:t xml:space="preserve">: Explore options to further improve data collection, monitoring and reporting of reuse and </w:t>
      </w:r>
      <w:r w:rsidRPr="00A559D8">
        <w:rPr>
          <w:rFonts w:cs="Arial"/>
          <w:sz w:val="24"/>
          <w:szCs w:val="24"/>
        </w:rPr>
        <w:t>recycling of containers including (recommendation</w:t>
      </w:r>
      <w:r w:rsidR="004051B4">
        <w:rPr>
          <w:rFonts w:cs="Arial"/>
          <w:sz w:val="24"/>
          <w:szCs w:val="24"/>
        </w:rPr>
        <w:t>s</w:t>
      </w:r>
      <w:r w:rsidRPr="00A559D8">
        <w:rPr>
          <w:rFonts w:cs="Arial"/>
          <w:sz w:val="24"/>
          <w:szCs w:val="24"/>
        </w:rPr>
        <w:t xml:space="preserve"> </w:t>
      </w:r>
      <w:r w:rsidR="004051B4">
        <w:rPr>
          <w:rFonts w:cs="Arial"/>
          <w:sz w:val="24"/>
          <w:szCs w:val="24"/>
        </w:rPr>
        <w:t>3, 5 and 14</w:t>
      </w:r>
      <w:r w:rsidRPr="00A559D8">
        <w:rPr>
          <w:rFonts w:cs="Arial"/>
          <w:sz w:val="24"/>
          <w:szCs w:val="24"/>
        </w:rPr>
        <w:t>):</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lastRenderedPageBreak/>
        <w:t>further analysis of existing data, and reporting on trends</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consult with the CDS coordinators on potential improvements in the quality and consistency of data and information provided in returns including about the destination of containers/ constituent materials</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explore options for online reporting.</w:t>
      </w:r>
    </w:p>
    <w:p w:rsidR="005D5CA2" w:rsidRPr="008938C7" w:rsidRDefault="005D5CA2" w:rsidP="005D5CA2">
      <w:pPr>
        <w:rPr>
          <w:rFonts w:cs="Arial"/>
          <w:b/>
          <w:sz w:val="28"/>
          <w:szCs w:val="28"/>
        </w:rPr>
      </w:pPr>
      <w:r>
        <w:rPr>
          <w:rFonts w:cs="Arial"/>
          <w:b/>
          <w:sz w:val="28"/>
          <w:szCs w:val="28"/>
        </w:rPr>
        <w:t>W</w:t>
      </w:r>
      <w:r w:rsidRPr="008938C7">
        <w:rPr>
          <w:rFonts w:cs="Arial"/>
          <w:b/>
          <w:sz w:val="28"/>
          <w:szCs w:val="28"/>
        </w:rPr>
        <w:t>ithin the next two years</w:t>
      </w:r>
    </w:p>
    <w:p w:rsidR="005D5CA2" w:rsidRPr="008938C7" w:rsidRDefault="005D5CA2" w:rsidP="005D5CA2">
      <w:pPr>
        <w:rPr>
          <w:rFonts w:cs="Arial"/>
          <w:sz w:val="24"/>
          <w:szCs w:val="24"/>
        </w:rPr>
      </w:pPr>
      <w:r>
        <w:rPr>
          <w:rFonts w:cs="Arial"/>
          <w:b/>
          <w:sz w:val="24"/>
          <w:szCs w:val="24"/>
        </w:rPr>
        <w:t>Consider potential improvements</w:t>
      </w:r>
      <w:r w:rsidRPr="008938C7">
        <w:rPr>
          <w:rFonts w:cs="Arial"/>
          <w:b/>
          <w:sz w:val="24"/>
          <w:szCs w:val="24"/>
        </w:rPr>
        <w:t xml:space="preserve"> </w:t>
      </w:r>
      <w:r>
        <w:rPr>
          <w:rFonts w:cs="Arial"/>
          <w:b/>
          <w:sz w:val="24"/>
          <w:szCs w:val="24"/>
        </w:rPr>
        <w:t xml:space="preserve">to </w:t>
      </w:r>
      <w:r w:rsidRPr="008938C7">
        <w:rPr>
          <w:rFonts w:cs="Arial"/>
          <w:b/>
          <w:sz w:val="24"/>
          <w:szCs w:val="24"/>
        </w:rPr>
        <w:t>regulatory framework:</w:t>
      </w:r>
      <w:r w:rsidRPr="008938C7">
        <w:rPr>
          <w:rFonts w:cs="Arial"/>
          <w:sz w:val="24"/>
          <w:szCs w:val="24"/>
        </w:rPr>
        <w:t xml:space="preserve"> Explore options for improvements in the current regulatory framework for reducing the complexity in the types of beverage containers that are covered by </w:t>
      </w:r>
      <w:r>
        <w:rPr>
          <w:rFonts w:cs="Arial"/>
          <w:sz w:val="24"/>
          <w:szCs w:val="24"/>
        </w:rPr>
        <w:t xml:space="preserve">the </w:t>
      </w:r>
      <w:r w:rsidRPr="008938C7">
        <w:rPr>
          <w:rFonts w:cs="Arial"/>
          <w:sz w:val="24"/>
          <w:szCs w:val="24"/>
        </w:rPr>
        <w:t>CDS (also known as regulated containers). In determining the options</w:t>
      </w:r>
      <w:r>
        <w:rPr>
          <w:rFonts w:cs="Arial"/>
          <w:sz w:val="24"/>
          <w:szCs w:val="24"/>
        </w:rPr>
        <w:t>,</w:t>
      </w:r>
      <w:r w:rsidRPr="008938C7">
        <w:rPr>
          <w:rFonts w:cs="Arial"/>
          <w:sz w:val="24"/>
          <w:szCs w:val="24"/>
        </w:rPr>
        <w:t xml:space="preserve"> consideration will be given to matters such as (recommendations 1 and 2): </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the basis for determining whether beverage containers are included or excluded, including container recyclability</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container redemption rates and the impacts of community awareness and/or changes to the scope of containers may have on these rates</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 xml:space="preserve">the impact of any proposed changes including any regulatory amendments on key stakeholders, and input from stakeholders </w:t>
      </w:r>
    </w:p>
    <w:p w:rsidR="005D5CA2" w:rsidRPr="00A559D8" w:rsidRDefault="005D5CA2" w:rsidP="005D5CA2">
      <w:pPr>
        <w:pStyle w:val="ListParagraph"/>
        <w:numPr>
          <w:ilvl w:val="0"/>
          <w:numId w:val="44"/>
        </w:numPr>
        <w:spacing w:after="160" w:line="259" w:lineRule="auto"/>
        <w:contextualSpacing/>
        <w:rPr>
          <w:rFonts w:cs="Arial"/>
          <w:sz w:val="24"/>
          <w:szCs w:val="24"/>
        </w:rPr>
      </w:pPr>
      <w:r w:rsidRPr="00A559D8">
        <w:rPr>
          <w:rFonts w:cs="Arial"/>
          <w:sz w:val="24"/>
          <w:szCs w:val="24"/>
        </w:rPr>
        <w:t>the government’s commitment to national waste policy agenda and harmonising schemes across Australia.</w:t>
      </w:r>
    </w:p>
    <w:p w:rsidR="005D5CA2" w:rsidRPr="006B7800" w:rsidRDefault="005D5CA2" w:rsidP="005D5CA2">
      <w:pPr>
        <w:rPr>
          <w:rFonts w:cs="Arial"/>
          <w:sz w:val="24"/>
          <w:szCs w:val="24"/>
        </w:rPr>
      </w:pPr>
      <w:r w:rsidRPr="006B7800">
        <w:rPr>
          <w:rFonts w:cs="Arial"/>
          <w:b/>
          <w:sz w:val="24"/>
          <w:szCs w:val="24"/>
        </w:rPr>
        <w:t>Stakeholder engagement:</w:t>
      </w:r>
      <w:r w:rsidRPr="006B7800">
        <w:rPr>
          <w:rFonts w:cs="Arial"/>
          <w:sz w:val="24"/>
          <w:szCs w:val="24"/>
        </w:rPr>
        <w:t xml:space="preserve"> Engage with key stakeholders including industry, beverage suppliers and </w:t>
      </w:r>
      <w:r w:rsidRPr="0082215A">
        <w:rPr>
          <w:rFonts w:cs="Arial"/>
          <w:sz w:val="24"/>
          <w:szCs w:val="24"/>
        </w:rPr>
        <w:t xml:space="preserve">the </w:t>
      </w:r>
      <w:r w:rsidRPr="006B7800">
        <w:rPr>
          <w:rFonts w:cs="Arial"/>
          <w:sz w:val="24"/>
          <w:szCs w:val="24"/>
        </w:rPr>
        <w:t>CDS coordinators on any proposed changes to the scope of regulated containers including any proposed regulatory amendments (recommendations 1 and 2)</w:t>
      </w:r>
      <w:r>
        <w:rPr>
          <w:rFonts w:cs="Arial"/>
          <w:sz w:val="24"/>
          <w:szCs w:val="24"/>
        </w:rPr>
        <w:t>.</w:t>
      </w:r>
    </w:p>
    <w:p w:rsidR="005D5CA2" w:rsidRPr="001604FC" w:rsidRDefault="005D5CA2" w:rsidP="005D5CA2">
      <w:pPr>
        <w:rPr>
          <w:rFonts w:cs="Arial"/>
          <w:sz w:val="24"/>
          <w:szCs w:val="24"/>
        </w:rPr>
      </w:pPr>
      <w:r w:rsidRPr="006B7800">
        <w:rPr>
          <w:rFonts w:cs="Arial"/>
          <w:b/>
          <w:sz w:val="24"/>
          <w:szCs w:val="24"/>
        </w:rPr>
        <w:t>Review resources:</w:t>
      </w:r>
      <w:r w:rsidRPr="006B7800">
        <w:rPr>
          <w:rFonts w:cs="Arial"/>
          <w:sz w:val="24"/>
          <w:szCs w:val="24"/>
        </w:rPr>
        <w:t xml:space="preserve"> Review </w:t>
      </w:r>
      <w:r>
        <w:rPr>
          <w:rFonts w:cs="Arial"/>
          <w:sz w:val="24"/>
          <w:szCs w:val="24"/>
        </w:rPr>
        <w:t>the Northern Territory Environment Protection Authority’s r</w:t>
      </w:r>
      <w:r w:rsidRPr="006B7800">
        <w:rPr>
          <w:rFonts w:cs="Arial"/>
          <w:sz w:val="24"/>
          <w:szCs w:val="24"/>
        </w:rPr>
        <w:t>esource allocation where necessary</w:t>
      </w:r>
      <w:r>
        <w:rPr>
          <w:rFonts w:cs="Arial"/>
          <w:sz w:val="24"/>
          <w:szCs w:val="24"/>
        </w:rPr>
        <w:t>. Develop</w:t>
      </w:r>
      <w:r w:rsidRPr="006B7800">
        <w:rPr>
          <w:rFonts w:cs="Arial"/>
          <w:sz w:val="24"/>
          <w:szCs w:val="24"/>
        </w:rPr>
        <w:t xml:space="preserve"> options based on administrative efficiencies</w:t>
      </w:r>
      <w:r>
        <w:rPr>
          <w:rFonts w:cs="Arial"/>
          <w:sz w:val="24"/>
          <w:szCs w:val="24"/>
        </w:rPr>
        <w:t>,</w:t>
      </w:r>
      <w:r w:rsidRPr="006B7800">
        <w:rPr>
          <w:rFonts w:cs="Arial"/>
          <w:sz w:val="24"/>
          <w:szCs w:val="24"/>
        </w:rPr>
        <w:t xml:space="preserve"> gained through implementing the review recommendations, to realign and </w:t>
      </w:r>
      <w:r w:rsidRPr="001604FC">
        <w:rPr>
          <w:rFonts w:cs="Arial"/>
          <w:sz w:val="24"/>
          <w:szCs w:val="24"/>
        </w:rPr>
        <w:t>allocate existing resources to increasing the CDS compliance and enforcement activity (recommendations 5 and 17-20).</w:t>
      </w:r>
    </w:p>
    <w:p w:rsidR="005D5CA2" w:rsidRPr="001604FC" w:rsidRDefault="005D5CA2" w:rsidP="005D5CA2">
      <w:pPr>
        <w:rPr>
          <w:rFonts w:cs="Arial"/>
          <w:sz w:val="24"/>
          <w:szCs w:val="24"/>
        </w:rPr>
      </w:pPr>
      <w:r w:rsidRPr="001604FC">
        <w:rPr>
          <w:rFonts w:cs="Arial"/>
          <w:b/>
          <w:sz w:val="24"/>
          <w:szCs w:val="24"/>
        </w:rPr>
        <w:t>Revise guidelines:</w:t>
      </w:r>
      <w:r w:rsidRPr="001604FC">
        <w:rPr>
          <w:rFonts w:cs="Arial"/>
          <w:sz w:val="24"/>
          <w:szCs w:val="24"/>
        </w:rPr>
        <w:t xml:space="preserve"> Revise existing guidelines, ensuring they clearly articulate requirements for supporting documentation and steps for the application process for </w:t>
      </w:r>
      <w:r>
        <w:rPr>
          <w:rFonts w:cs="Arial"/>
          <w:sz w:val="24"/>
          <w:szCs w:val="24"/>
        </w:rPr>
        <w:t xml:space="preserve">the </w:t>
      </w:r>
      <w:r w:rsidRPr="001604FC">
        <w:rPr>
          <w:rFonts w:cs="Arial"/>
          <w:sz w:val="24"/>
          <w:szCs w:val="24"/>
        </w:rPr>
        <w:t>CDS approvals, and they capture any relevant system, policy and/or administrative changes that are implemented in response to the review recommendations (recommendation 16).</w:t>
      </w:r>
    </w:p>
    <w:p w:rsidR="005D5CA2" w:rsidRPr="001604FC" w:rsidRDefault="005D5CA2" w:rsidP="005D5CA2">
      <w:pPr>
        <w:rPr>
          <w:rFonts w:cs="Arial"/>
          <w:sz w:val="24"/>
          <w:szCs w:val="24"/>
        </w:rPr>
      </w:pPr>
      <w:r w:rsidRPr="001604FC">
        <w:rPr>
          <w:rFonts w:cs="Arial"/>
          <w:b/>
          <w:sz w:val="24"/>
          <w:szCs w:val="24"/>
        </w:rPr>
        <w:t>Further consideration:</w:t>
      </w:r>
      <w:r w:rsidRPr="001604FC">
        <w:rPr>
          <w:rFonts w:cs="Arial"/>
          <w:sz w:val="24"/>
          <w:szCs w:val="24"/>
        </w:rPr>
        <w:t xml:space="preserve"> During this period further consideration will be given to the implications (policy or otherwise) </w:t>
      </w:r>
      <w:r w:rsidR="004051B4">
        <w:rPr>
          <w:rFonts w:cs="Arial"/>
          <w:sz w:val="24"/>
          <w:szCs w:val="24"/>
        </w:rPr>
        <w:t xml:space="preserve"> of </w:t>
      </w:r>
      <w:r w:rsidRPr="001604FC">
        <w:rPr>
          <w:rFonts w:cs="Arial"/>
          <w:sz w:val="24"/>
          <w:szCs w:val="24"/>
        </w:rPr>
        <w:t xml:space="preserve">factors such as the geographic location of collection depots, and an analysis of potential demand in guidelines for collection depot approvals. An analysis of gaps in </w:t>
      </w:r>
      <w:r w:rsidRPr="0082215A">
        <w:rPr>
          <w:rFonts w:cs="Arial"/>
          <w:sz w:val="24"/>
          <w:szCs w:val="24"/>
        </w:rPr>
        <w:t xml:space="preserve">the </w:t>
      </w:r>
      <w:r w:rsidRPr="001604FC">
        <w:rPr>
          <w:rFonts w:cs="Arial"/>
          <w:sz w:val="24"/>
          <w:szCs w:val="24"/>
        </w:rPr>
        <w:t xml:space="preserve">CDS accessibility in the Northern Territory or a regional basis </w:t>
      </w:r>
      <w:r w:rsidRPr="001604FC">
        <w:rPr>
          <w:rFonts w:cs="Arial"/>
          <w:sz w:val="24"/>
          <w:szCs w:val="24"/>
        </w:rPr>
        <w:lastRenderedPageBreak/>
        <w:t>will be undertaken within the next two years, with the view to identifying infrastructure needs to facilitate access (recommendation 8).</w:t>
      </w:r>
    </w:p>
    <w:p w:rsidR="005D5CA2" w:rsidRPr="001604FC" w:rsidRDefault="005D5CA2" w:rsidP="005D5CA2">
      <w:pPr>
        <w:rPr>
          <w:rFonts w:cs="Arial"/>
          <w:sz w:val="24"/>
          <w:szCs w:val="24"/>
        </w:rPr>
      </w:pPr>
      <w:r w:rsidRPr="001604FC">
        <w:rPr>
          <w:rFonts w:cs="Arial"/>
          <w:b/>
          <w:sz w:val="24"/>
          <w:szCs w:val="24"/>
        </w:rPr>
        <w:t>Signed statutory declaration:</w:t>
      </w:r>
      <w:r w:rsidRPr="001604FC">
        <w:rPr>
          <w:rFonts w:cs="Arial"/>
          <w:sz w:val="24"/>
          <w:szCs w:val="24"/>
        </w:rPr>
        <w:t xml:space="preserve"> Explore the need for collection depots to require a signed statutory declaration for deposits of 1500 containers, and benefits and risks associated with amending or removing this requirement, and as part of this</w:t>
      </w:r>
      <w:r>
        <w:rPr>
          <w:rFonts w:cs="Arial"/>
          <w:sz w:val="24"/>
          <w:szCs w:val="24"/>
        </w:rPr>
        <w:t>,</w:t>
      </w:r>
      <w:r w:rsidRPr="001604FC">
        <w:rPr>
          <w:rFonts w:cs="Arial"/>
          <w:sz w:val="24"/>
          <w:szCs w:val="24"/>
        </w:rPr>
        <w:t xml:space="preserve"> seek and consider input from key stakeholders including depots (recommendation 4).</w:t>
      </w:r>
    </w:p>
    <w:p w:rsidR="005D5CA2" w:rsidRPr="00A559D8" w:rsidRDefault="005D5CA2" w:rsidP="005D5CA2">
      <w:pPr>
        <w:rPr>
          <w:rFonts w:cs="Arial"/>
          <w:sz w:val="24"/>
          <w:szCs w:val="24"/>
        </w:rPr>
      </w:pPr>
      <w:r w:rsidRPr="00A559D8">
        <w:rPr>
          <w:rFonts w:cs="Arial"/>
          <w:b/>
          <w:sz w:val="24"/>
          <w:szCs w:val="24"/>
        </w:rPr>
        <w:t>Ongoing improvement:</w:t>
      </w:r>
      <w:r w:rsidRPr="00A559D8">
        <w:rPr>
          <w:rFonts w:cs="Arial"/>
          <w:sz w:val="24"/>
          <w:szCs w:val="24"/>
        </w:rPr>
        <w:t xml:space="preserve"> As part of a broader national waste agenda, in the next two years and on an ongoing basis, continue to:</w:t>
      </w:r>
    </w:p>
    <w:p w:rsidR="005D5CA2" w:rsidRPr="00A559D8" w:rsidRDefault="005D5CA2" w:rsidP="005D5CA2">
      <w:pPr>
        <w:pStyle w:val="ListParagraph"/>
        <w:numPr>
          <w:ilvl w:val="0"/>
          <w:numId w:val="45"/>
        </w:numPr>
        <w:spacing w:after="160" w:line="259" w:lineRule="auto"/>
        <w:contextualSpacing/>
        <w:rPr>
          <w:rFonts w:cs="Arial"/>
          <w:sz w:val="24"/>
          <w:szCs w:val="24"/>
        </w:rPr>
      </w:pPr>
      <w:r w:rsidRPr="00A559D8">
        <w:rPr>
          <w:rFonts w:cs="Arial"/>
          <w:sz w:val="24"/>
          <w:szCs w:val="24"/>
        </w:rPr>
        <w:t>regularly meet and consult with key stakeholders to progress the national commitments on recycling waste, including to explore market opportunities and encourage access to markets and services. This will help ensure that challenges to reusing and/or recycling in the NT are considered in the broader national waste agenda (recommendation 15)</w:t>
      </w:r>
    </w:p>
    <w:p w:rsidR="005D5CA2" w:rsidRPr="00A559D8" w:rsidRDefault="005D5CA2" w:rsidP="005D5CA2">
      <w:pPr>
        <w:pStyle w:val="ListParagraph"/>
        <w:numPr>
          <w:ilvl w:val="0"/>
          <w:numId w:val="45"/>
        </w:numPr>
        <w:spacing w:after="160" w:line="259" w:lineRule="auto"/>
        <w:contextualSpacing/>
        <w:rPr>
          <w:rFonts w:cs="Arial"/>
          <w:sz w:val="24"/>
          <w:szCs w:val="24"/>
        </w:rPr>
      </w:pPr>
      <w:r w:rsidRPr="00A559D8">
        <w:rPr>
          <w:rFonts w:cs="Arial"/>
          <w:sz w:val="24"/>
          <w:szCs w:val="24"/>
        </w:rPr>
        <w:t>participate in intergovernmental working groups to support consistency between existing and emerging schemes in other jurisdictions, and to identify opportunities for coordinated approach where possible (recommendation</w:t>
      </w:r>
      <w:r w:rsidR="004051B4">
        <w:rPr>
          <w:rFonts w:cs="Arial"/>
          <w:sz w:val="24"/>
          <w:szCs w:val="24"/>
        </w:rPr>
        <w:t>s</w:t>
      </w:r>
      <w:r w:rsidRPr="00A559D8">
        <w:rPr>
          <w:rFonts w:cs="Arial"/>
          <w:sz w:val="24"/>
          <w:szCs w:val="24"/>
        </w:rPr>
        <w:t xml:space="preserve"> 19 and 21).</w:t>
      </w:r>
    </w:p>
    <w:p w:rsidR="005D5CA2" w:rsidRPr="00384DA2" w:rsidRDefault="005D5CA2" w:rsidP="005D5CA2">
      <w:pPr>
        <w:pStyle w:val="ListParagraph"/>
        <w:spacing w:after="160" w:line="259" w:lineRule="auto"/>
        <w:rPr>
          <w:rFonts w:cs="Arial"/>
          <w:szCs w:val="24"/>
        </w:rPr>
      </w:pPr>
    </w:p>
    <w:p w:rsidR="005D5CA2" w:rsidRDefault="005D5CA2">
      <w:r w:rsidRPr="00384DA2">
        <w:rPr>
          <w:rFonts w:cs="Arial"/>
          <w:b/>
          <w:sz w:val="24"/>
          <w:szCs w:val="24"/>
        </w:rPr>
        <w:t xml:space="preserve">Unclaimed </w:t>
      </w:r>
      <w:r w:rsidRPr="00A559D8">
        <w:rPr>
          <w:rFonts w:cs="Arial"/>
          <w:b/>
          <w:sz w:val="24"/>
          <w:szCs w:val="24"/>
        </w:rPr>
        <w:t>refunds</w:t>
      </w:r>
      <w:r w:rsidRPr="00A559D8">
        <w:rPr>
          <w:rFonts w:cs="Arial"/>
          <w:sz w:val="24"/>
          <w:szCs w:val="24"/>
        </w:rPr>
        <w:t>: Give further consideration to investigation of the potential for unclaimed refunds as a source of revenue.</w:t>
      </w:r>
    </w:p>
    <w:sectPr w:rsidR="005D5CA2" w:rsidSect="006B5059">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A6" w:rsidRDefault="00F33DA6" w:rsidP="007332FF">
      <w:r>
        <w:separator/>
      </w:r>
    </w:p>
  </w:endnote>
  <w:endnote w:type="continuationSeparator" w:id="0">
    <w:p w:rsidR="00F33DA6" w:rsidRDefault="00F33D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67"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797"/>
      <w:gridCol w:w="4870"/>
    </w:tblGrid>
    <w:tr w:rsidR="001E5817" w:rsidRPr="00132658" w:rsidTr="00C154FC">
      <w:trPr>
        <w:cantSplit/>
        <w:trHeight w:hRule="exact" w:val="1091"/>
        <w:tblHeader/>
      </w:trPr>
      <w:tc>
        <w:tcPr>
          <w:tcW w:w="7797" w:type="dxa"/>
          <w:vAlign w:val="center"/>
        </w:tcPr>
        <w:p w:rsidR="00C154FC" w:rsidRDefault="001E5817" w:rsidP="00C154FC">
          <w:pPr>
            <w:pStyle w:val="NTGFooter1items"/>
            <w:tabs>
              <w:tab w:val="clear" w:pos="9026"/>
            </w:tabs>
            <w:rPr>
              <w:rStyle w:val="NTGFooterDepartmentNameChar"/>
            </w:rPr>
          </w:pPr>
          <w:r>
            <w:rPr>
              <w:rStyle w:val="NTGFooterDepartmentofChar"/>
            </w:rPr>
            <w:t xml:space="preserve">DEPARTMENT OF </w:t>
          </w:r>
          <w:r>
            <w:rPr>
              <w:rStyle w:val="NTGFooterDepartmentNameChar"/>
            </w:rPr>
            <w:t>environment and natural</w:t>
          </w:r>
          <w:r w:rsidR="00C154FC">
            <w:rPr>
              <w:rStyle w:val="NTGFooterDepartmentNameChar"/>
            </w:rPr>
            <w:t xml:space="preserve"> </w:t>
          </w:r>
          <w:r>
            <w:rPr>
              <w:rStyle w:val="NTGFooterDepartmentNameChar"/>
            </w:rPr>
            <w:t xml:space="preserve">resources </w:t>
          </w:r>
        </w:p>
        <w:p w:rsidR="001E5817" w:rsidRPr="007B5DA2" w:rsidRDefault="001E5817" w:rsidP="00C154FC">
          <w:pPr>
            <w:pStyle w:val="NTGFooter1items"/>
          </w:pPr>
          <w:r>
            <w:rPr>
              <w:rStyle w:val="NTGFooter1itemsChar"/>
            </w:rPr>
            <w:t xml:space="preserve">July 2019 </w:t>
          </w:r>
        </w:p>
      </w:tc>
      <w:tc>
        <w:tcPr>
          <w:tcW w:w="4870" w:type="dxa"/>
          <w:vAlign w:val="center"/>
        </w:tcPr>
        <w:p w:rsidR="001E5817" w:rsidRPr="00DC1F0F" w:rsidRDefault="001E5817" w:rsidP="00C154FC">
          <w:pPr>
            <w:spacing w:after="0"/>
            <w:jc w:val="center"/>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964C5">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964C5">
            <w:rPr>
              <w:noProof/>
              <w:sz w:val="20"/>
            </w:rPr>
            <w:t>12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E36474" w:rsidRPr="00132658" w:rsidTr="00F81158">
      <w:trPr>
        <w:cantSplit/>
        <w:trHeight w:hRule="exact" w:val="113"/>
        <w:tblHeader/>
        <w:jc w:val="center"/>
      </w:trPr>
      <w:tc>
        <w:tcPr>
          <w:tcW w:w="11907" w:type="dxa"/>
          <w:gridSpan w:val="4"/>
          <w:tcBorders>
            <w:top w:val="single" w:sz="48" w:space="0" w:color="CB6015"/>
          </w:tcBorders>
          <w:vAlign w:val="center"/>
        </w:tcPr>
        <w:p w:rsidR="00E36474" w:rsidRPr="00132658" w:rsidRDefault="00E36474" w:rsidP="00E36474">
          <w:pPr>
            <w:jc w:val="right"/>
            <w:rPr>
              <w:noProof/>
            </w:rPr>
          </w:pPr>
        </w:p>
      </w:tc>
    </w:tr>
    <w:tr w:rsidR="00E36474" w:rsidRPr="00132658" w:rsidTr="00F81158">
      <w:trPr>
        <w:gridBefore w:val="1"/>
        <w:gridAfter w:val="1"/>
        <w:wBefore w:w="567" w:type="dxa"/>
        <w:wAfter w:w="708" w:type="dxa"/>
        <w:cantSplit/>
        <w:trHeight w:hRule="exact" w:val="1400"/>
        <w:tblHeader/>
        <w:jc w:val="center"/>
      </w:trPr>
      <w:tc>
        <w:tcPr>
          <w:tcW w:w="8364" w:type="dxa"/>
          <w:vAlign w:val="center"/>
        </w:tcPr>
        <w:p w:rsidR="00E36474" w:rsidRPr="004908A9" w:rsidRDefault="004908A9" w:rsidP="00E36474">
          <w:pPr>
            <w:pStyle w:val="NTGFooter1text"/>
            <w:rPr>
              <w:b/>
            </w:rPr>
          </w:pPr>
          <w:r w:rsidRPr="004908A9">
            <w:rPr>
              <w:b/>
            </w:rPr>
            <w:t>www.nt.gov.au</w:t>
          </w:r>
        </w:p>
      </w:tc>
      <w:tc>
        <w:tcPr>
          <w:tcW w:w="2268" w:type="dxa"/>
          <w:vAlign w:val="center"/>
        </w:tcPr>
        <w:p w:rsidR="00E36474" w:rsidRPr="001E14EB" w:rsidRDefault="00241781" w:rsidP="00E36474">
          <w:pPr>
            <w:jc w:val="right"/>
          </w:pPr>
          <w:r>
            <w:rPr>
              <w:noProof/>
              <w:lang w:eastAsia="en-AU"/>
            </w:rPr>
            <w:drawing>
              <wp:inline distT="0" distB="0" distL="0" distR="0" wp14:anchorId="12DDDE7A" wp14:editId="64ACA564">
                <wp:extent cx="1346400" cy="479412"/>
                <wp:effectExtent l="0" t="0" r="635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A6" w:rsidRDefault="00F33DA6" w:rsidP="007332FF">
      <w:r>
        <w:separator/>
      </w:r>
    </w:p>
  </w:footnote>
  <w:footnote w:type="continuationSeparator" w:id="0">
    <w:p w:rsidR="00F33DA6" w:rsidRDefault="00F33DA6" w:rsidP="007332FF">
      <w:r>
        <w:continuationSeparator/>
      </w:r>
    </w:p>
  </w:footnote>
  <w:footnote w:id="1">
    <w:p w:rsidR="005D5CA2" w:rsidRDefault="005D5CA2" w:rsidP="005D5CA2">
      <w:pPr>
        <w:pStyle w:val="FootnoteText"/>
      </w:pPr>
      <w:r>
        <w:rPr>
          <w:rStyle w:val="FootnoteReference"/>
        </w:rPr>
        <w:footnoteRef/>
      </w:r>
      <w:r>
        <w:t xml:space="preserve"> With the exception of #2 above, these 6 month actions are associated with recommendations we’ve identified as high priority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052110226"/>
      <w:dataBinding w:prefixMappings="xmlns:ns0='http://purl.org/dc/elements/1.1/' xmlns:ns1='http://schemas.openxmlformats.org/package/2006/metadata/core-properties' " w:xpath="/ns1:coreProperties[1]/ns0:title[1]" w:storeItemID="{6C3C8BC8-F283-45AE-878A-BAB7291924A1}"/>
      <w:text/>
    </w:sdtPr>
    <w:sdtEndPr/>
    <w:sdtContent>
      <w:p w:rsidR="00983000" w:rsidRDefault="005D45A8" w:rsidP="002926BC">
        <w:pPr>
          <w:pStyle w:val="Header"/>
          <w:tabs>
            <w:tab w:val="clear" w:pos="9026"/>
          </w:tabs>
          <w:ind w:right="-568"/>
        </w:pPr>
        <w:r>
          <w:t>Northern Territory response to Container Deposit Scheme (CDS) review</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31" w:type="dxa"/>
      <w:tblInd w:w="42" w:type="dxa"/>
      <w:tblLook w:val="0600" w:firstRow="0" w:lastRow="0" w:firstColumn="0" w:lastColumn="0" w:noHBand="1" w:noVBand="1"/>
    </w:tblPr>
    <w:tblGrid>
      <w:gridCol w:w="258"/>
      <w:gridCol w:w="9873"/>
    </w:tblGrid>
    <w:tr w:rsidR="00E36474" w:rsidRPr="0033290B" w:rsidTr="00071205">
      <w:trPr>
        <w:trHeight w:val="1434"/>
        <w:tblHeader/>
      </w:trPr>
      <w:tc>
        <w:tcPr>
          <w:tcW w:w="258" w:type="dxa"/>
          <w:tcBorders>
            <w:top w:val="nil"/>
            <w:left w:val="nil"/>
            <w:bottom w:val="nil"/>
            <w:right w:val="nil"/>
          </w:tcBorders>
          <w:tcMar>
            <w:left w:w="0" w:type="dxa"/>
          </w:tcMar>
        </w:tcPr>
        <w:p w:rsidR="00E36474" w:rsidRPr="0033290B" w:rsidRDefault="00E36474" w:rsidP="00E36474">
          <w:pPr>
            <w:spacing w:after="0"/>
          </w:pPr>
          <w:r w:rsidRPr="0033290B">
            <w:rPr>
              <w:noProof/>
              <w:lang w:eastAsia="en-AU"/>
            </w:rPr>
            <mc:AlternateContent>
              <mc:Choice Requires="wpg">
                <w:drawing>
                  <wp:inline distT="0" distB="0" distL="0" distR="0" wp14:anchorId="4D5E282A" wp14:editId="3037AFA5">
                    <wp:extent cx="93588" cy="882415"/>
                    <wp:effectExtent l="0" t="0" r="1905" b="0"/>
                    <wp:docPr id="2" name="Group 2"/>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3"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4"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2C5EBBD" id="Group 2"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" fillcolor="black [3213]" stroked="f" strokeweight="1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" fillcolor="#cb6015" stroked="f" strokeweight="1pt">
                      <v:textbox inset="0,0,2.5mm,0"/>
                    </v:rect>
                    <w10:anchorlock/>
                  </v:group>
                </w:pict>
              </mc:Fallback>
            </mc:AlternateContent>
          </w:r>
        </w:p>
      </w:tc>
      <w:tc>
        <w:tcPr>
          <w:tcW w:w="9873" w:type="dxa"/>
          <w:tcBorders>
            <w:top w:val="nil"/>
            <w:left w:val="nil"/>
            <w:bottom w:val="nil"/>
            <w:right w:val="nil"/>
          </w:tcBorders>
          <w:tcMar>
            <w:left w:w="0" w:type="dxa"/>
          </w:tcMar>
          <w:vAlign w:val="bottom"/>
        </w:tcPr>
        <w:p w:rsidR="00E36474" w:rsidRPr="0033290B" w:rsidRDefault="008819E9" w:rsidP="008819E9">
          <w:pPr>
            <w:spacing w:after="0"/>
          </w:pPr>
          <w:r>
            <w:rPr>
              <w:rStyle w:val="NTGdepartmentofChar"/>
            </w:rPr>
            <w:t>DEPARTMENT OF</w:t>
          </w:r>
          <w:r>
            <w:br/>
          </w:r>
          <w:r w:rsidR="00227203">
            <w:rPr>
              <w:rFonts w:ascii="Arial Black" w:hAnsi="Arial Black"/>
              <w:sz w:val="20"/>
            </w:rPr>
            <w:t>ENVIRONMENT AND NATURAL RESOURCES</w:t>
          </w:r>
        </w:p>
      </w:tc>
    </w:tr>
  </w:tbl>
  <w:p w:rsidR="00983000" w:rsidRDefault="00983000" w:rsidP="00E3647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0DC3AA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30C827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C80D5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2F31851"/>
    <w:multiLevelType w:val="hybridMultilevel"/>
    <w:tmpl w:val="349E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980A1C"/>
    <w:multiLevelType w:val="hybridMultilevel"/>
    <w:tmpl w:val="0B982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56A3CB0"/>
    <w:multiLevelType w:val="hybridMultilevel"/>
    <w:tmpl w:val="B5228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8718CC"/>
    <w:multiLevelType w:val="hybridMultilevel"/>
    <w:tmpl w:val="F858DE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46F2512"/>
    <w:multiLevelType w:val="hybridMultilevel"/>
    <w:tmpl w:val="D8408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3"/>
  </w:num>
  <w:num w:numId="3">
    <w:abstractNumId w:val="71"/>
  </w:num>
  <w:num w:numId="4">
    <w:abstractNumId w:val="44"/>
  </w:num>
  <w:num w:numId="5">
    <w:abstractNumId w:val="28"/>
  </w:num>
  <w:num w:numId="6">
    <w:abstractNumId w:val="16"/>
  </w:num>
  <w:num w:numId="7">
    <w:abstractNumId w:val="49"/>
  </w:num>
  <w:num w:numId="8">
    <w:abstractNumId w:val="26"/>
  </w:num>
  <w:num w:numId="9">
    <w:abstractNumId w:val="56"/>
  </w:num>
  <w:num w:numId="10">
    <w:abstractNumId w:val="21"/>
  </w:num>
  <w:num w:numId="11">
    <w:abstractNumId w:val="61"/>
  </w:num>
  <w:num w:numId="12">
    <w:abstractNumId w:val="18"/>
  </w:num>
  <w:num w:numId="13">
    <w:abstractNumId w:val="4"/>
  </w:num>
  <w:num w:numId="14">
    <w:abstractNumId w:val="59"/>
  </w:num>
  <w:num w:numId="15">
    <w:abstractNumId w:val="27"/>
  </w:num>
  <w:num w:numId="16">
    <w:abstractNumId w:val="60"/>
  </w:num>
  <w:num w:numId="17">
    <w:abstractNumId w:val="69"/>
  </w:num>
  <w:num w:numId="18">
    <w:abstractNumId w:val="55"/>
  </w:num>
  <w:num w:numId="19">
    <w:abstractNumId w:val="47"/>
  </w:num>
  <w:num w:numId="20">
    <w:abstractNumId w:val="51"/>
  </w:num>
  <w:num w:numId="21">
    <w:abstractNumId w:val="38"/>
  </w:num>
  <w:num w:numId="22">
    <w:abstractNumId w:val="54"/>
  </w:num>
  <w:num w:numId="23">
    <w:abstractNumId w:val="46"/>
  </w:num>
  <w:num w:numId="24">
    <w:abstractNumId w:val="40"/>
  </w:num>
  <w:num w:numId="25">
    <w:abstractNumId w:val="36"/>
  </w:num>
  <w:num w:numId="26">
    <w:abstractNumId w:val="12"/>
  </w:num>
  <w:num w:numId="27">
    <w:abstractNumId w:val="70"/>
  </w:num>
  <w:num w:numId="28">
    <w:abstractNumId w:val="35"/>
  </w:num>
  <w:num w:numId="29">
    <w:abstractNumId w:val="29"/>
  </w:num>
  <w:num w:numId="30">
    <w:abstractNumId w:val="3"/>
  </w:num>
  <w:num w:numId="31">
    <w:abstractNumId w:val="39"/>
  </w:num>
  <w:num w:numId="32">
    <w:abstractNumId w:val="11"/>
  </w:num>
  <w:num w:numId="33">
    <w:abstractNumId w:val="62"/>
  </w:num>
  <w:num w:numId="34">
    <w:abstractNumId w:val="32"/>
  </w:num>
  <w:num w:numId="35">
    <w:abstractNumId w:val="48"/>
  </w:num>
  <w:num w:numId="36">
    <w:abstractNumId w:val="63"/>
  </w:num>
  <w:num w:numId="37">
    <w:abstractNumId w:val="65"/>
  </w:num>
  <w:num w:numId="38">
    <w:abstractNumId w:val="15"/>
  </w:num>
  <w:num w:numId="39">
    <w:abstractNumId w:val="2"/>
  </w:num>
  <w:num w:numId="40">
    <w:abstractNumId w:val="1"/>
  </w:num>
  <w:num w:numId="41">
    <w:abstractNumId w:val="0"/>
  </w:num>
  <w:num w:numId="42">
    <w:abstractNumId w:val="41"/>
  </w:num>
  <w:num w:numId="43">
    <w:abstractNumId w:val="42"/>
  </w:num>
  <w:num w:numId="44">
    <w:abstractNumId w:val="22"/>
  </w:num>
  <w:num w:numId="45">
    <w:abstractNumId w:val="67"/>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4C"/>
    <w:rsid w:val="00001DDF"/>
    <w:rsid w:val="0000322D"/>
    <w:rsid w:val="00007670"/>
    <w:rsid w:val="00010665"/>
    <w:rsid w:val="0002393A"/>
    <w:rsid w:val="0002770F"/>
    <w:rsid w:val="00027DB8"/>
    <w:rsid w:val="00031A96"/>
    <w:rsid w:val="00040BF3"/>
    <w:rsid w:val="0004211C"/>
    <w:rsid w:val="00046C59"/>
    <w:rsid w:val="000474BA"/>
    <w:rsid w:val="00051362"/>
    <w:rsid w:val="00051F45"/>
    <w:rsid w:val="00052953"/>
    <w:rsid w:val="0005341A"/>
    <w:rsid w:val="00053A3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07"/>
    <w:rsid w:val="000A559C"/>
    <w:rsid w:val="000B2CA1"/>
    <w:rsid w:val="000D1F29"/>
    <w:rsid w:val="000D633D"/>
    <w:rsid w:val="000E342B"/>
    <w:rsid w:val="000E5DD2"/>
    <w:rsid w:val="000F2958"/>
    <w:rsid w:val="00104E7F"/>
    <w:rsid w:val="001137EC"/>
    <w:rsid w:val="001152F5"/>
    <w:rsid w:val="00117743"/>
    <w:rsid w:val="00117F5B"/>
    <w:rsid w:val="00132658"/>
    <w:rsid w:val="00132B05"/>
    <w:rsid w:val="00137CDD"/>
    <w:rsid w:val="00150DC0"/>
    <w:rsid w:val="00156CD4"/>
    <w:rsid w:val="0016153B"/>
    <w:rsid w:val="00164A3E"/>
    <w:rsid w:val="00166FF6"/>
    <w:rsid w:val="00176123"/>
    <w:rsid w:val="00181620"/>
    <w:rsid w:val="00192C92"/>
    <w:rsid w:val="001957AD"/>
    <w:rsid w:val="001A2B7F"/>
    <w:rsid w:val="001A3AFD"/>
    <w:rsid w:val="001A496C"/>
    <w:rsid w:val="001B2B6C"/>
    <w:rsid w:val="001C1D59"/>
    <w:rsid w:val="001C3E87"/>
    <w:rsid w:val="001D01C4"/>
    <w:rsid w:val="001D52B0"/>
    <w:rsid w:val="001D5A18"/>
    <w:rsid w:val="001D7CA4"/>
    <w:rsid w:val="001E057F"/>
    <w:rsid w:val="001E14EB"/>
    <w:rsid w:val="001E5817"/>
    <w:rsid w:val="001E5C4C"/>
    <w:rsid w:val="001F59E6"/>
    <w:rsid w:val="00202CFC"/>
    <w:rsid w:val="00203F1C"/>
    <w:rsid w:val="00206936"/>
    <w:rsid w:val="00206C6F"/>
    <w:rsid w:val="00206FBD"/>
    <w:rsid w:val="00207746"/>
    <w:rsid w:val="00227203"/>
    <w:rsid w:val="00227596"/>
    <w:rsid w:val="00230031"/>
    <w:rsid w:val="0023540F"/>
    <w:rsid w:val="00235C01"/>
    <w:rsid w:val="00241781"/>
    <w:rsid w:val="00247343"/>
    <w:rsid w:val="00265C56"/>
    <w:rsid w:val="002716CD"/>
    <w:rsid w:val="0027234D"/>
    <w:rsid w:val="00274D4B"/>
    <w:rsid w:val="002806F5"/>
    <w:rsid w:val="00281577"/>
    <w:rsid w:val="002926BC"/>
    <w:rsid w:val="00293A72"/>
    <w:rsid w:val="002A0160"/>
    <w:rsid w:val="002A30C3"/>
    <w:rsid w:val="002A6F6A"/>
    <w:rsid w:val="002A7712"/>
    <w:rsid w:val="002B38F7"/>
    <w:rsid w:val="002B3FB1"/>
    <w:rsid w:val="002B5591"/>
    <w:rsid w:val="002B6AA4"/>
    <w:rsid w:val="002C1FE9"/>
    <w:rsid w:val="002D1A60"/>
    <w:rsid w:val="002D3A57"/>
    <w:rsid w:val="002D7D05"/>
    <w:rsid w:val="002E20C8"/>
    <w:rsid w:val="002E4290"/>
    <w:rsid w:val="002E66A6"/>
    <w:rsid w:val="002F0DB1"/>
    <w:rsid w:val="002F2885"/>
    <w:rsid w:val="002F45A1"/>
    <w:rsid w:val="003037F9"/>
    <w:rsid w:val="0030583E"/>
    <w:rsid w:val="00307FE1"/>
    <w:rsid w:val="003117BB"/>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306E"/>
    <w:rsid w:val="003F5B58"/>
    <w:rsid w:val="0040222A"/>
    <w:rsid w:val="004047BC"/>
    <w:rsid w:val="004051B4"/>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3C98"/>
    <w:rsid w:val="00474965"/>
    <w:rsid w:val="00482DF8"/>
    <w:rsid w:val="004864DE"/>
    <w:rsid w:val="004908A9"/>
    <w:rsid w:val="00494BE5"/>
    <w:rsid w:val="004A0EBA"/>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1353A"/>
    <w:rsid w:val="005249F5"/>
    <w:rsid w:val="005260F7"/>
    <w:rsid w:val="00543BD1"/>
    <w:rsid w:val="00543F84"/>
    <w:rsid w:val="005558FB"/>
    <w:rsid w:val="00556113"/>
    <w:rsid w:val="0056367C"/>
    <w:rsid w:val="00564C12"/>
    <w:rsid w:val="005654B8"/>
    <w:rsid w:val="005762CC"/>
    <w:rsid w:val="00582D3D"/>
    <w:rsid w:val="00595386"/>
    <w:rsid w:val="005A4AC0"/>
    <w:rsid w:val="005A5FDF"/>
    <w:rsid w:val="005B0FB7"/>
    <w:rsid w:val="005B122A"/>
    <w:rsid w:val="005B5AC2"/>
    <w:rsid w:val="005C2833"/>
    <w:rsid w:val="005D45A8"/>
    <w:rsid w:val="005D5CA2"/>
    <w:rsid w:val="005E144D"/>
    <w:rsid w:val="005E1500"/>
    <w:rsid w:val="005E3A43"/>
    <w:rsid w:val="005F0B17"/>
    <w:rsid w:val="005F77C7"/>
    <w:rsid w:val="00604B9D"/>
    <w:rsid w:val="00620675"/>
    <w:rsid w:val="00622910"/>
    <w:rsid w:val="006433C3"/>
    <w:rsid w:val="00650F5B"/>
    <w:rsid w:val="006636C4"/>
    <w:rsid w:val="006670D7"/>
    <w:rsid w:val="006719EA"/>
    <w:rsid w:val="00671F13"/>
    <w:rsid w:val="0067400A"/>
    <w:rsid w:val="006847AD"/>
    <w:rsid w:val="0069114B"/>
    <w:rsid w:val="006A756A"/>
    <w:rsid w:val="006B5059"/>
    <w:rsid w:val="006D66F7"/>
    <w:rsid w:val="00705C9D"/>
    <w:rsid w:val="00705F13"/>
    <w:rsid w:val="00714F1D"/>
    <w:rsid w:val="00715225"/>
    <w:rsid w:val="00720CC6"/>
    <w:rsid w:val="00722DDB"/>
    <w:rsid w:val="00724728"/>
    <w:rsid w:val="00724F98"/>
    <w:rsid w:val="00730B9B"/>
    <w:rsid w:val="0073182E"/>
    <w:rsid w:val="007332FF"/>
    <w:rsid w:val="007408F5"/>
    <w:rsid w:val="0074115B"/>
    <w:rsid w:val="00741EAE"/>
    <w:rsid w:val="00755248"/>
    <w:rsid w:val="00761515"/>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1AE2"/>
    <w:rsid w:val="007D4893"/>
    <w:rsid w:val="007E70CF"/>
    <w:rsid w:val="007E74A4"/>
    <w:rsid w:val="007F263F"/>
    <w:rsid w:val="008015A8"/>
    <w:rsid w:val="00803BAA"/>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D20"/>
    <w:rsid w:val="008819E9"/>
    <w:rsid w:val="00881C48"/>
    <w:rsid w:val="00885B80"/>
    <w:rsid w:val="00885C30"/>
    <w:rsid w:val="00885E9B"/>
    <w:rsid w:val="00892467"/>
    <w:rsid w:val="00893C96"/>
    <w:rsid w:val="0089500A"/>
    <w:rsid w:val="00897C94"/>
    <w:rsid w:val="008A7C12"/>
    <w:rsid w:val="008B03CE"/>
    <w:rsid w:val="008B529E"/>
    <w:rsid w:val="008C17FB"/>
    <w:rsid w:val="008C38FA"/>
    <w:rsid w:val="008D1B00"/>
    <w:rsid w:val="008D2EBD"/>
    <w:rsid w:val="008D57B8"/>
    <w:rsid w:val="008E03FC"/>
    <w:rsid w:val="008E510B"/>
    <w:rsid w:val="00902B13"/>
    <w:rsid w:val="00911941"/>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7AA3"/>
    <w:rsid w:val="009D0EB5"/>
    <w:rsid w:val="009D14F9"/>
    <w:rsid w:val="009D2B74"/>
    <w:rsid w:val="009D63FF"/>
    <w:rsid w:val="009E175D"/>
    <w:rsid w:val="009E3CC2"/>
    <w:rsid w:val="009F06BD"/>
    <w:rsid w:val="009F2A4D"/>
    <w:rsid w:val="00A00828"/>
    <w:rsid w:val="00A03290"/>
    <w:rsid w:val="00A07490"/>
    <w:rsid w:val="00A10655"/>
    <w:rsid w:val="00A12B64"/>
    <w:rsid w:val="00A22C38"/>
    <w:rsid w:val="00A25193"/>
    <w:rsid w:val="00A26E80"/>
    <w:rsid w:val="00A31AE8"/>
    <w:rsid w:val="00A3739D"/>
    <w:rsid w:val="00A37DDA"/>
    <w:rsid w:val="00A559D8"/>
    <w:rsid w:val="00A76790"/>
    <w:rsid w:val="00A925EC"/>
    <w:rsid w:val="00A929AA"/>
    <w:rsid w:val="00A92B6B"/>
    <w:rsid w:val="00AA541E"/>
    <w:rsid w:val="00AA7FC1"/>
    <w:rsid w:val="00AD0DA4"/>
    <w:rsid w:val="00AD4169"/>
    <w:rsid w:val="00AE25C6"/>
    <w:rsid w:val="00AE306C"/>
    <w:rsid w:val="00AF28C1"/>
    <w:rsid w:val="00B02EF1"/>
    <w:rsid w:val="00B076A3"/>
    <w:rsid w:val="00B07C8D"/>
    <w:rsid w:val="00B07C97"/>
    <w:rsid w:val="00B11C67"/>
    <w:rsid w:val="00B15754"/>
    <w:rsid w:val="00B2046E"/>
    <w:rsid w:val="00B20E8B"/>
    <w:rsid w:val="00B257E1"/>
    <w:rsid w:val="00B2599A"/>
    <w:rsid w:val="00B27AC4"/>
    <w:rsid w:val="00B343CC"/>
    <w:rsid w:val="00B5084A"/>
    <w:rsid w:val="00B606A1"/>
    <w:rsid w:val="00B614F7"/>
    <w:rsid w:val="00B61B26"/>
    <w:rsid w:val="00B63B53"/>
    <w:rsid w:val="00B675B2"/>
    <w:rsid w:val="00B723B6"/>
    <w:rsid w:val="00B81261"/>
    <w:rsid w:val="00B8223E"/>
    <w:rsid w:val="00B832AE"/>
    <w:rsid w:val="00B86678"/>
    <w:rsid w:val="00B92F9B"/>
    <w:rsid w:val="00B93D51"/>
    <w:rsid w:val="00B941B3"/>
    <w:rsid w:val="00B96513"/>
    <w:rsid w:val="00BA1D47"/>
    <w:rsid w:val="00BA66F0"/>
    <w:rsid w:val="00BA70A1"/>
    <w:rsid w:val="00BB2239"/>
    <w:rsid w:val="00BB2AE7"/>
    <w:rsid w:val="00BB6464"/>
    <w:rsid w:val="00BC1BB8"/>
    <w:rsid w:val="00BD7FE1"/>
    <w:rsid w:val="00BE37CA"/>
    <w:rsid w:val="00BE6144"/>
    <w:rsid w:val="00BE635A"/>
    <w:rsid w:val="00BE733D"/>
    <w:rsid w:val="00BF17E9"/>
    <w:rsid w:val="00BF2ABB"/>
    <w:rsid w:val="00BF5099"/>
    <w:rsid w:val="00C00FC9"/>
    <w:rsid w:val="00C10F10"/>
    <w:rsid w:val="00C154FC"/>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6B06"/>
    <w:rsid w:val="00D27EBE"/>
    <w:rsid w:val="00D36A49"/>
    <w:rsid w:val="00D517C6"/>
    <w:rsid w:val="00D71D84"/>
    <w:rsid w:val="00D72464"/>
    <w:rsid w:val="00D768EB"/>
    <w:rsid w:val="00D82D1E"/>
    <w:rsid w:val="00D832D9"/>
    <w:rsid w:val="00D86FD1"/>
    <w:rsid w:val="00D90F00"/>
    <w:rsid w:val="00D964C5"/>
    <w:rsid w:val="00D975C0"/>
    <w:rsid w:val="00DA5285"/>
    <w:rsid w:val="00DB191D"/>
    <w:rsid w:val="00DB4F91"/>
    <w:rsid w:val="00DC06BE"/>
    <w:rsid w:val="00DC1F0F"/>
    <w:rsid w:val="00DC3117"/>
    <w:rsid w:val="00DC5DD9"/>
    <w:rsid w:val="00DC6D2D"/>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0A9C"/>
    <w:rsid w:val="00E33136"/>
    <w:rsid w:val="00E34D7C"/>
    <w:rsid w:val="00E36474"/>
    <w:rsid w:val="00E3723D"/>
    <w:rsid w:val="00E415FA"/>
    <w:rsid w:val="00E42634"/>
    <w:rsid w:val="00E44C89"/>
    <w:rsid w:val="00E61BA2"/>
    <w:rsid w:val="00E62621"/>
    <w:rsid w:val="00E63864"/>
    <w:rsid w:val="00E6403F"/>
    <w:rsid w:val="00E64689"/>
    <w:rsid w:val="00E72F94"/>
    <w:rsid w:val="00E770C4"/>
    <w:rsid w:val="00E820A3"/>
    <w:rsid w:val="00E84C5A"/>
    <w:rsid w:val="00E861DB"/>
    <w:rsid w:val="00E93406"/>
    <w:rsid w:val="00E956C5"/>
    <w:rsid w:val="00E95C39"/>
    <w:rsid w:val="00EA2C39"/>
    <w:rsid w:val="00EA615B"/>
    <w:rsid w:val="00EB0A3C"/>
    <w:rsid w:val="00EB0A96"/>
    <w:rsid w:val="00EB77F9"/>
    <w:rsid w:val="00EC0F65"/>
    <w:rsid w:val="00EC5769"/>
    <w:rsid w:val="00EC7D00"/>
    <w:rsid w:val="00ED0304"/>
    <w:rsid w:val="00EE38FA"/>
    <w:rsid w:val="00EE3E2C"/>
    <w:rsid w:val="00EE5D23"/>
    <w:rsid w:val="00EE750D"/>
    <w:rsid w:val="00EF3CA4"/>
    <w:rsid w:val="00EF7859"/>
    <w:rsid w:val="00F014DA"/>
    <w:rsid w:val="00F02591"/>
    <w:rsid w:val="00F22E9F"/>
    <w:rsid w:val="00F33DA6"/>
    <w:rsid w:val="00F5696E"/>
    <w:rsid w:val="00F60EFF"/>
    <w:rsid w:val="00F64C48"/>
    <w:rsid w:val="00F67D2D"/>
    <w:rsid w:val="00F80A8E"/>
    <w:rsid w:val="00F81158"/>
    <w:rsid w:val="00F860CC"/>
    <w:rsid w:val="00F94398"/>
    <w:rsid w:val="00FB2B56"/>
    <w:rsid w:val="00FB2F08"/>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070548-6925-4B55-9125-F26584D8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E9"/>
  </w:style>
  <w:style w:type="paragraph" w:styleId="Heading1">
    <w:name w:val="heading 1"/>
    <w:basedOn w:val="Normal"/>
    <w:next w:val="Normal"/>
    <w:link w:val="Heading1Char"/>
    <w:uiPriority w:val="1"/>
    <w:qFormat/>
    <w:rsid w:val="00F81158"/>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F81158"/>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F81158"/>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F81158"/>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customStyle="1" w:styleId="Factsheettitle">
    <w:name w:val="Fact sheet title"/>
    <w:basedOn w:val="Normal"/>
    <w:semiHidden/>
    <w:rsid w:val="00137CDD"/>
    <w:pPr>
      <w:spacing w:before="60" w:after="0"/>
      <w:ind w:left="1140"/>
    </w:pPr>
    <w:rPr>
      <w:rFonts w:ascii="Arial Black" w:eastAsia="Times New Roman" w:hAnsi="Arial Black"/>
      <w:color w:val="CB6015"/>
      <w:sz w:val="48"/>
      <w:szCs w:val="20"/>
      <w:lang w:eastAsia="en-AU"/>
    </w:r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3">
    <w:name w:val="Table bullet list level 3"/>
    <w:basedOn w:val="Normal"/>
    <w:uiPriority w:val="6"/>
    <w:semiHidden/>
    <w:qFormat/>
    <w:rsid w:val="00137CDD"/>
    <w:pPr>
      <w:numPr>
        <w:ilvl w:val="2"/>
        <w:numId w:val="7"/>
      </w:numPr>
      <w:spacing w:after="20"/>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3">
    <w:name w:val="Table number list level 3"/>
    <w:basedOn w:val="Normal"/>
    <w:uiPriority w:val="7"/>
    <w:semiHidden/>
    <w:qFormat/>
    <w:rsid w:val="00137CDD"/>
    <w:pPr>
      <w:numPr>
        <w:ilvl w:val="2"/>
        <w:numId w:val="6"/>
      </w:numPr>
      <w:spacing w:after="20"/>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departmentof">
    <w:name w:val="NTG department of"/>
    <w:link w:val="NTGdepartmentofChar"/>
    <w:uiPriority w:val="2"/>
    <w:semiHidden/>
    <w:rsid w:val="00E36474"/>
    <w:pPr>
      <w:spacing w:after="0"/>
    </w:pPr>
    <w:rPr>
      <w:rFonts w:eastAsiaTheme="minorHAnsi"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semiHidden/>
    <w:rsid w:val="00E36474"/>
    <w:rPr>
      <w:rFonts w:ascii="Arial Black" w:hAnsi="Arial Black" w:cs="Lato Black"/>
    </w:rPr>
  </w:style>
  <w:style w:type="character" w:customStyle="1" w:styleId="NTGdepartmentofChar">
    <w:name w:val="NTG department of Char"/>
    <w:basedOn w:val="DefaultParagraphFont"/>
    <w:link w:val="NTGdepartmentof"/>
    <w:uiPriority w:val="2"/>
    <w:semiHidden/>
    <w:rsid w:val="008819E9"/>
    <w:rPr>
      <w:rFonts w:eastAsiaTheme="minorHAnsi"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semiHidden/>
    <w:rsid w:val="008819E9"/>
    <w:rPr>
      <w:rFonts w:ascii="Arial Black" w:eastAsiaTheme="minorHAnsi" w:hAnsi="Arial Black" w:cs="Lato Black"/>
      <w:caps/>
      <w:color w:val="231F20"/>
      <w:sz w:val="20"/>
      <w:szCs w:val="24"/>
      <w:u w:color="000000"/>
      <w:lang w:eastAsia="ja-JP"/>
    </w:rPr>
  </w:style>
  <w:style w:type="paragraph" w:customStyle="1" w:styleId="Subheading">
    <w:name w:val="Subheading"/>
    <w:uiPriority w:val="99"/>
    <w:semiHidden/>
    <w:rsid w:val="00E36474"/>
    <w:pPr>
      <w:spacing w:before="360" w:after="360"/>
    </w:pPr>
    <w:rPr>
      <w:rFonts w:eastAsia="Times New Roman" w:cs="Arial"/>
      <w:b/>
      <w:color w:val="CB6015"/>
      <w:sz w:val="36"/>
      <w:szCs w:val="36"/>
      <w:lang w:eastAsia="en-AU"/>
    </w:rPr>
  </w:style>
  <w:style w:type="paragraph" w:customStyle="1" w:styleId="NTGFooter1text">
    <w:name w:val="NTG Footer 1 text"/>
    <w:basedOn w:val="Normal"/>
    <w:link w:val="NTGFooter1textChar"/>
    <w:uiPriority w:val="2"/>
    <w:semiHidden/>
    <w:rsid w:val="00E36474"/>
    <w:pPr>
      <w:spacing w:after="0"/>
    </w:pPr>
    <w:rPr>
      <w:rFonts w:eastAsiaTheme="minorHAnsi" w:cstheme="minorBidi"/>
      <w:sz w:val="20"/>
    </w:rPr>
  </w:style>
  <w:style w:type="character" w:customStyle="1" w:styleId="NTGFooter1textChar">
    <w:name w:val="NTG Footer 1 text Char"/>
    <w:basedOn w:val="DefaultParagraphFont"/>
    <w:link w:val="NTGFooter1text"/>
    <w:uiPriority w:val="2"/>
    <w:semiHidden/>
    <w:rsid w:val="008819E9"/>
    <w:rPr>
      <w:rFonts w:eastAsiaTheme="minorHAnsi" w:cstheme="minorBidi"/>
      <w:sz w:val="20"/>
    </w:rPr>
  </w:style>
  <w:style w:type="paragraph" w:styleId="ListNumber2">
    <w:name w:val="List Number 2"/>
    <w:basedOn w:val="Normal"/>
    <w:uiPriority w:val="99"/>
    <w:semiHidden/>
    <w:rsid w:val="008819E9"/>
    <w:pPr>
      <w:numPr>
        <w:numId w:val="41"/>
      </w:numPr>
      <w:contextualSpacing/>
    </w:pPr>
  </w:style>
  <w:style w:type="paragraph" w:styleId="Caption">
    <w:name w:val="caption"/>
    <w:basedOn w:val="Normal"/>
    <w:next w:val="Normal"/>
    <w:uiPriority w:val="35"/>
    <w:unhideWhenUsed/>
    <w:rsid w:val="009C7AA3"/>
    <w:rPr>
      <w:iCs/>
      <w:sz w:val="20"/>
      <w:szCs w:val="18"/>
    </w:rPr>
  </w:style>
  <w:style w:type="paragraph" w:styleId="FootnoteText">
    <w:name w:val="footnote text"/>
    <w:basedOn w:val="Normal"/>
    <w:link w:val="FootnoteTextChar"/>
    <w:uiPriority w:val="99"/>
    <w:semiHidden/>
    <w:unhideWhenUsed/>
    <w:rsid w:val="005D5CA2"/>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D5CA2"/>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5D5CA2"/>
    <w:rPr>
      <w:vertAlign w:val="superscript"/>
    </w:rPr>
  </w:style>
  <w:style w:type="character" w:styleId="CommentReference">
    <w:name w:val="annotation reference"/>
    <w:basedOn w:val="DefaultParagraphFont"/>
    <w:uiPriority w:val="99"/>
    <w:semiHidden/>
    <w:unhideWhenUsed/>
    <w:rsid w:val="00543F84"/>
    <w:rPr>
      <w:sz w:val="16"/>
      <w:szCs w:val="16"/>
    </w:rPr>
  </w:style>
  <w:style w:type="paragraph" w:styleId="CommentText">
    <w:name w:val="annotation text"/>
    <w:basedOn w:val="Normal"/>
    <w:link w:val="CommentTextChar"/>
    <w:uiPriority w:val="99"/>
    <w:unhideWhenUsed/>
    <w:rsid w:val="00543F8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43F84"/>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543F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6q\AppData\Local\Microsoft\Windows\Temporary%20Internet%20Files\Content.IE5\MBHTCG8D\ntg-fact-shee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9AC40FC2A44B53963CC9FEAF1FF1E9"/>
        <w:category>
          <w:name w:val="General"/>
          <w:gallery w:val="placeholder"/>
        </w:category>
        <w:types>
          <w:type w:val="bbPlcHdr"/>
        </w:types>
        <w:behaviors>
          <w:behavior w:val="content"/>
        </w:behaviors>
        <w:guid w:val="{80F7210E-4430-43E1-B863-C4BB201DC67D}"/>
      </w:docPartPr>
      <w:docPartBody>
        <w:p w:rsidR="0017368A" w:rsidRDefault="0017368A">
          <w:pPr>
            <w:pStyle w:val="F59AC40FC2A44B53963CC9FEAF1FF1E9"/>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8A"/>
    <w:rsid w:val="000E3E17"/>
    <w:rsid w:val="0017368A"/>
    <w:rsid w:val="005C0791"/>
    <w:rsid w:val="00D40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9AC40FC2A44B53963CC9FEAF1FF1E9">
    <w:name w:val="F59AC40FC2A44B53963CC9FEAF1FF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3C62-10A4-49E6-AC00-B7BC8700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ntg-fact-sheet-word-template.dotx</Template>
  <TotalTime>0</TotalTime>
  <Pages>12</Pages>
  <Words>3057</Words>
  <Characters>17428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Northern Territory response to Container Deposit Scheme (CDS) review</vt:lpstr>
    </vt:vector>
  </TitlesOfParts>
  <Company>Northern Territory Government</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response to Container Deposit Scheme (CDS) review</dc:title>
  <dc:creator>Cindy McIntyre</dc:creator>
  <cp:lastModifiedBy>Cindy McIntyre</cp:lastModifiedBy>
  <cp:revision>2</cp:revision>
  <cp:lastPrinted>2016-02-04T04:37:00Z</cp:lastPrinted>
  <dcterms:created xsi:type="dcterms:W3CDTF">2019-07-15T01:35:00Z</dcterms:created>
  <dcterms:modified xsi:type="dcterms:W3CDTF">2019-07-15T01:35:00Z</dcterms:modified>
</cp:coreProperties>
</file>